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Ind w:w="-432" w:type="dxa"/>
        <w:tblLayout w:type="fixed"/>
        <w:tblLook w:val="04A0"/>
      </w:tblPr>
      <w:tblGrid>
        <w:gridCol w:w="3802"/>
        <w:gridCol w:w="5648"/>
      </w:tblGrid>
      <w:tr w:rsidR="0066141C" w:rsidRPr="002F46C3" w:rsidTr="0066141C">
        <w:tc>
          <w:tcPr>
            <w:tcW w:w="3802" w:type="dxa"/>
          </w:tcPr>
          <w:p w:rsidR="0066141C" w:rsidRPr="00616005" w:rsidRDefault="0066141C" w:rsidP="00117C7C">
            <w:pPr>
              <w:jc w:val="center"/>
              <w:rPr>
                <w:b/>
              </w:rPr>
            </w:pPr>
            <w:r w:rsidRPr="00BE5E73">
              <w:rPr>
                <w:color w:val="0000FF"/>
              </w:rPr>
              <w:object w:dxaOrig="3285" w:dyaOrig="2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46.35pt" o:ole="">
                  <v:imagedata r:id="rId8" o:title=""/>
                </v:shape>
                <o:OLEObject Type="Embed" ProgID="PBrush" ShapeID="_x0000_i1025" DrawAspect="Content" ObjectID="_1672137596" r:id="rId9"/>
              </w:object>
            </w:r>
          </w:p>
        </w:tc>
        <w:tc>
          <w:tcPr>
            <w:tcW w:w="5648" w:type="dxa"/>
          </w:tcPr>
          <w:p w:rsidR="0066141C" w:rsidRDefault="0066141C" w:rsidP="0066141C">
            <w:pPr>
              <w:ind w:left="1850"/>
              <w:rPr>
                <w:b/>
              </w:rPr>
            </w:pPr>
          </w:p>
        </w:tc>
      </w:tr>
      <w:tr w:rsidR="00236C82" w:rsidRPr="002F46C3" w:rsidTr="0066141C">
        <w:tc>
          <w:tcPr>
            <w:tcW w:w="3802" w:type="dxa"/>
          </w:tcPr>
          <w:p w:rsidR="00236C82" w:rsidRPr="002F46C3" w:rsidRDefault="00236C82" w:rsidP="00782E71">
            <w:pPr>
              <w:jc w:val="center"/>
              <w:rPr>
                <w:b/>
              </w:rPr>
            </w:pPr>
            <w:r w:rsidRPr="00616005">
              <w:rPr>
                <w:b/>
              </w:rPr>
              <w:t>Π</w:t>
            </w:r>
            <w:r w:rsidRPr="002F46C3">
              <w:rPr>
                <w:b/>
              </w:rPr>
              <w:t>ΡΕΣΒΕΙΑ ΤΗΣ ΕΛΛΑΔΟΣ ΒΕΡΟΛΙΝΟ</w:t>
            </w:r>
          </w:p>
          <w:p w:rsidR="00236C82" w:rsidRPr="002F46C3" w:rsidRDefault="00236C82" w:rsidP="00782E71">
            <w:pPr>
              <w:jc w:val="center"/>
              <w:rPr>
                <w:b/>
              </w:rPr>
            </w:pPr>
            <w:r w:rsidRPr="002F46C3">
              <w:rPr>
                <w:b/>
              </w:rPr>
              <w:t>ΓΡΑΦΕΙΟ ΟΙΚΟΝΟΜΙΚΩΝ ΚΑΙ ΕΜΠΟΡΙΚΩΝ ΥΠΟΘΕΣΕΩΝ</w:t>
            </w:r>
          </w:p>
        </w:tc>
        <w:tc>
          <w:tcPr>
            <w:tcW w:w="5648" w:type="dxa"/>
          </w:tcPr>
          <w:p w:rsidR="00236C82" w:rsidRPr="00B33DF1" w:rsidRDefault="00236C82" w:rsidP="0066141C">
            <w:pPr>
              <w:ind w:left="1850"/>
              <w:rPr>
                <w:b/>
              </w:rPr>
            </w:pPr>
            <w:r>
              <w:rPr>
                <w:b/>
              </w:rPr>
              <w:t>ΑΔΙΑΒΑΘΜΗΤΟ</w:t>
            </w:r>
            <w:r w:rsidR="0074232E">
              <w:rPr>
                <w:b/>
              </w:rPr>
              <w:t xml:space="preserve"> -</w:t>
            </w:r>
            <w:r w:rsidRPr="00B33DF1">
              <w:rPr>
                <w:b/>
              </w:rPr>
              <w:t>ΚΑΝΟΝΙΚΟ</w:t>
            </w:r>
          </w:p>
          <w:tbl>
            <w:tblPr>
              <w:tblW w:w="3825" w:type="dxa"/>
              <w:tblInd w:w="1730" w:type="dxa"/>
              <w:tblLayout w:type="fixed"/>
              <w:tblLook w:val="04A0"/>
            </w:tblPr>
            <w:tblGrid>
              <w:gridCol w:w="3825"/>
            </w:tblGrid>
            <w:tr w:rsidR="00236C82" w:rsidRPr="002F46C3" w:rsidTr="00782E71">
              <w:tc>
                <w:tcPr>
                  <w:tcW w:w="3827" w:type="dxa"/>
                </w:tcPr>
                <w:p w:rsidR="00236C82" w:rsidRPr="00476934" w:rsidRDefault="00236C82" w:rsidP="00BD58E5">
                  <w:r w:rsidRPr="006D231D">
                    <w:t>Βερολίνο</w:t>
                  </w:r>
                  <w:r>
                    <w:t>,</w:t>
                  </w:r>
                  <w:r w:rsidR="005862A9">
                    <w:rPr>
                      <w:lang w:val="en-GB"/>
                    </w:rPr>
                    <w:t xml:space="preserve"> </w:t>
                  </w:r>
                  <w:r w:rsidR="00E21D2B">
                    <w:rPr>
                      <w:lang w:val="de-DE"/>
                    </w:rPr>
                    <w:t>14</w:t>
                  </w:r>
                  <w:r w:rsidR="000345B7">
                    <w:rPr>
                      <w:lang w:val="en-GB"/>
                    </w:rPr>
                    <w:t xml:space="preserve"> </w:t>
                  </w:r>
                  <w:r w:rsidR="00476934">
                    <w:t>Ιανουαρίου 2021</w:t>
                  </w:r>
                </w:p>
              </w:tc>
            </w:tr>
            <w:tr w:rsidR="00236C82" w:rsidRPr="002F46C3" w:rsidTr="00782E71">
              <w:tc>
                <w:tcPr>
                  <w:tcW w:w="3827" w:type="dxa"/>
                </w:tcPr>
                <w:p w:rsidR="00496425" w:rsidRPr="00E21D2B" w:rsidRDefault="006960A0" w:rsidP="00BD58E5">
                  <w:pPr>
                    <w:rPr>
                      <w:lang w:val="en-GB"/>
                    </w:rPr>
                  </w:pPr>
                  <w:r>
                    <w:t>Α.Π.:</w:t>
                  </w:r>
                  <w:r w:rsidR="00C84BA2">
                    <w:t xml:space="preserve"> </w:t>
                  </w:r>
                  <w:r w:rsidR="003A40A0">
                    <w:t>82</w:t>
                  </w:r>
                </w:p>
              </w:tc>
            </w:tr>
          </w:tbl>
          <w:p w:rsidR="00236C82" w:rsidRPr="002F46C3" w:rsidRDefault="00236C82" w:rsidP="00782E71">
            <w:pPr>
              <w:jc w:val="both"/>
            </w:pPr>
          </w:p>
        </w:tc>
      </w:tr>
    </w:tbl>
    <w:p w:rsidR="00236C82" w:rsidRDefault="00236C82" w:rsidP="00236C82">
      <w:pPr>
        <w:ind w:right="-694"/>
        <w:jc w:val="both"/>
        <w:rPr>
          <w:b/>
          <w:bCs/>
          <w:sz w:val="14"/>
          <w:szCs w:val="28"/>
        </w:rPr>
      </w:pPr>
    </w:p>
    <w:p w:rsidR="001F7E1F" w:rsidRDefault="001F7E1F" w:rsidP="00236C82">
      <w:pPr>
        <w:ind w:right="-694"/>
        <w:jc w:val="both"/>
        <w:rPr>
          <w:b/>
          <w:bCs/>
          <w:sz w:val="14"/>
          <w:szCs w:val="28"/>
        </w:rPr>
      </w:pPr>
    </w:p>
    <w:tbl>
      <w:tblPr>
        <w:tblW w:w="7513" w:type="dxa"/>
        <w:tblInd w:w="-459" w:type="dxa"/>
        <w:tblLook w:val="01E0"/>
      </w:tblPr>
      <w:tblGrid>
        <w:gridCol w:w="1107"/>
        <w:gridCol w:w="407"/>
        <w:gridCol w:w="5999"/>
      </w:tblGrid>
      <w:tr w:rsidR="001F7E1F" w:rsidRPr="002340CD" w:rsidTr="00F54BB1">
        <w:tc>
          <w:tcPr>
            <w:tcW w:w="1107" w:type="dxa"/>
            <w:hideMark/>
          </w:tcPr>
          <w:p w:rsidR="001F7E1F" w:rsidRDefault="001F7E1F" w:rsidP="00495804">
            <w:pPr>
              <w:tabs>
                <w:tab w:val="left" w:pos="559"/>
              </w:tabs>
              <w:jc w:val="right"/>
              <w:rPr>
                <w:b/>
                <w:bCs/>
              </w:rPr>
            </w:pPr>
            <w:r>
              <w:rPr>
                <w:b/>
                <w:bCs/>
              </w:rPr>
              <w:t>ΠΡΟΣ:</w:t>
            </w:r>
          </w:p>
          <w:p w:rsidR="001F7E1F" w:rsidRPr="00F13A22" w:rsidRDefault="001F7E1F" w:rsidP="00495804">
            <w:pPr>
              <w:tabs>
                <w:tab w:val="left" w:pos="559"/>
              </w:tabs>
              <w:jc w:val="right"/>
              <w:rPr>
                <w:b/>
                <w:bCs/>
                <w:sz w:val="20"/>
                <w:szCs w:val="20"/>
              </w:rPr>
            </w:pPr>
          </w:p>
        </w:tc>
        <w:tc>
          <w:tcPr>
            <w:tcW w:w="407" w:type="dxa"/>
            <w:hideMark/>
          </w:tcPr>
          <w:p w:rsidR="001F7E1F" w:rsidRDefault="001F7E1F" w:rsidP="00495804">
            <w:pPr>
              <w:jc w:val="both"/>
              <w:rPr>
                <w:bCs/>
              </w:rPr>
            </w:pPr>
            <w:r>
              <w:rPr>
                <w:bCs/>
              </w:rPr>
              <w:t>-</w:t>
            </w:r>
          </w:p>
        </w:tc>
        <w:tc>
          <w:tcPr>
            <w:tcW w:w="5999" w:type="dxa"/>
            <w:hideMark/>
          </w:tcPr>
          <w:p w:rsidR="001F7E1F" w:rsidRPr="00F322F7" w:rsidRDefault="00851415" w:rsidP="00495804">
            <w:pPr>
              <w:rPr>
                <w:b/>
              </w:rPr>
            </w:pPr>
            <w:r>
              <w:rPr>
                <w:b/>
              </w:rPr>
              <w:t xml:space="preserve">Υπουργείο Εξωτερικών </w:t>
            </w:r>
          </w:p>
          <w:p w:rsidR="001F7E1F" w:rsidRPr="00703A58" w:rsidRDefault="005A3619" w:rsidP="00495804">
            <w:r>
              <w:t>Β</w:t>
            </w:r>
            <w:r w:rsidR="00703A58" w:rsidRPr="00BD58E5">
              <w:t xml:space="preserve">4 </w:t>
            </w:r>
            <w:r w:rsidR="00703A58">
              <w:t xml:space="preserve">Διεύθυνση </w:t>
            </w:r>
          </w:p>
          <w:p w:rsidR="001F7E1F" w:rsidRPr="00F16EB2" w:rsidRDefault="001F7E1F" w:rsidP="00495804">
            <w:pPr>
              <w:rPr>
                <w:sz w:val="12"/>
              </w:rPr>
            </w:pPr>
          </w:p>
        </w:tc>
      </w:tr>
      <w:tr w:rsidR="001F7E1F" w:rsidRPr="00A27916" w:rsidTr="00F54BB1">
        <w:tc>
          <w:tcPr>
            <w:tcW w:w="1107" w:type="dxa"/>
            <w:hideMark/>
          </w:tcPr>
          <w:p w:rsidR="001F7E1F" w:rsidRDefault="001F7E1F" w:rsidP="00495804">
            <w:pPr>
              <w:jc w:val="right"/>
              <w:rPr>
                <w:b/>
                <w:bCs/>
              </w:rPr>
            </w:pPr>
            <w:r>
              <w:rPr>
                <w:b/>
                <w:bCs/>
              </w:rPr>
              <w:t>ΚΟΙΝ.:</w:t>
            </w:r>
          </w:p>
          <w:p w:rsidR="001F7E1F" w:rsidRDefault="001F7E1F" w:rsidP="00495804">
            <w:pPr>
              <w:jc w:val="right"/>
              <w:rPr>
                <w:b/>
                <w:bCs/>
              </w:rPr>
            </w:pPr>
          </w:p>
        </w:tc>
        <w:tc>
          <w:tcPr>
            <w:tcW w:w="407" w:type="dxa"/>
            <w:hideMark/>
          </w:tcPr>
          <w:p w:rsidR="001F7E1F" w:rsidRDefault="001F7E1F" w:rsidP="00495804">
            <w:pPr>
              <w:jc w:val="both"/>
              <w:rPr>
                <w:bCs/>
              </w:rPr>
            </w:pPr>
            <w:r>
              <w:rPr>
                <w:bCs/>
              </w:rPr>
              <w:t>-</w:t>
            </w:r>
          </w:p>
          <w:p w:rsidR="001F7E1F" w:rsidRDefault="001F7E1F" w:rsidP="00495804">
            <w:pPr>
              <w:jc w:val="both"/>
              <w:rPr>
                <w:bCs/>
              </w:rPr>
            </w:pPr>
            <w:r>
              <w:rPr>
                <w:bCs/>
              </w:rPr>
              <w:t>-</w:t>
            </w:r>
          </w:p>
          <w:p w:rsidR="001F7E1F" w:rsidRDefault="001F7E1F" w:rsidP="00495804">
            <w:pPr>
              <w:jc w:val="both"/>
              <w:rPr>
                <w:bCs/>
              </w:rPr>
            </w:pPr>
            <w:r>
              <w:rPr>
                <w:bCs/>
              </w:rPr>
              <w:t>-</w:t>
            </w:r>
          </w:p>
          <w:p w:rsidR="001F7E1F" w:rsidRDefault="001F7E1F" w:rsidP="00495804">
            <w:pPr>
              <w:jc w:val="both"/>
              <w:rPr>
                <w:bCs/>
              </w:rPr>
            </w:pPr>
            <w:r>
              <w:rPr>
                <w:bCs/>
              </w:rPr>
              <w:t>-</w:t>
            </w:r>
          </w:p>
          <w:p w:rsidR="001F7E1F" w:rsidRPr="00696235" w:rsidRDefault="001F7E1F" w:rsidP="00495804">
            <w:pPr>
              <w:jc w:val="both"/>
              <w:rPr>
                <w:bCs/>
              </w:rPr>
            </w:pPr>
            <w:r>
              <w:rPr>
                <w:bCs/>
              </w:rPr>
              <w:t>-</w:t>
            </w:r>
          </w:p>
          <w:p w:rsidR="001F7E1F" w:rsidRDefault="001F7E1F" w:rsidP="00495804">
            <w:pPr>
              <w:jc w:val="both"/>
              <w:rPr>
                <w:bCs/>
              </w:rPr>
            </w:pPr>
            <w:r>
              <w:rPr>
                <w:bCs/>
              </w:rPr>
              <w:t>-</w:t>
            </w:r>
          </w:p>
          <w:p w:rsidR="001F7E1F" w:rsidRDefault="001F7E1F" w:rsidP="00495804">
            <w:pPr>
              <w:jc w:val="both"/>
              <w:rPr>
                <w:bCs/>
              </w:rPr>
            </w:pPr>
            <w:r>
              <w:rPr>
                <w:bCs/>
              </w:rPr>
              <w:t>-</w:t>
            </w:r>
          </w:p>
          <w:p w:rsidR="001F7E1F" w:rsidRDefault="001F7E1F" w:rsidP="00495804">
            <w:pPr>
              <w:jc w:val="both"/>
              <w:rPr>
                <w:bCs/>
              </w:rPr>
            </w:pPr>
            <w:r>
              <w:rPr>
                <w:bCs/>
              </w:rPr>
              <w:t>-</w:t>
            </w:r>
          </w:p>
          <w:p w:rsidR="001F7E1F" w:rsidRDefault="001F7E1F" w:rsidP="00495804">
            <w:pPr>
              <w:jc w:val="both"/>
              <w:rPr>
                <w:bCs/>
              </w:rPr>
            </w:pPr>
            <w:r>
              <w:rPr>
                <w:bCs/>
              </w:rPr>
              <w:t>-</w:t>
            </w:r>
          </w:p>
          <w:p w:rsidR="001F7E1F" w:rsidRPr="006960A0" w:rsidRDefault="001F7E1F" w:rsidP="00495804">
            <w:pPr>
              <w:jc w:val="both"/>
              <w:rPr>
                <w:bCs/>
              </w:rPr>
            </w:pPr>
          </w:p>
        </w:tc>
        <w:tc>
          <w:tcPr>
            <w:tcW w:w="5999" w:type="dxa"/>
            <w:hideMark/>
          </w:tcPr>
          <w:p w:rsidR="001F7E1F" w:rsidRDefault="00E92075" w:rsidP="00495804">
            <w:pPr>
              <w:jc w:val="both"/>
              <w:rPr>
                <w:bCs/>
              </w:rPr>
            </w:pPr>
            <w:proofErr w:type="spellStart"/>
            <w:r>
              <w:rPr>
                <w:bCs/>
              </w:rPr>
              <w:t>Διπλ</w:t>
            </w:r>
            <w:proofErr w:type="spellEnd"/>
            <w:r>
              <w:rPr>
                <w:bCs/>
              </w:rPr>
              <w:t xml:space="preserve">. Γραφείο κ. Πρωθυπουργού </w:t>
            </w:r>
          </w:p>
          <w:p w:rsidR="001F7E1F" w:rsidRDefault="001F7E1F" w:rsidP="00495804">
            <w:pPr>
              <w:jc w:val="both"/>
              <w:rPr>
                <w:bCs/>
              </w:rPr>
            </w:pPr>
            <w:proofErr w:type="spellStart"/>
            <w:r>
              <w:rPr>
                <w:bCs/>
              </w:rPr>
              <w:t>Διπλ</w:t>
            </w:r>
            <w:proofErr w:type="spellEnd"/>
            <w:r>
              <w:rPr>
                <w:bCs/>
              </w:rPr>
              <w:t>. Γρ</w:t>
            </w:r>
            <w:r w:rsidR="00E92075">
              <w:rPr>
                <w:bCs/>
              </w:rPr>
              <w:t xml:space="preserve">αφείο κ. Υπουργού </w:t>
            </w:r>
          </w:p>
          <w:p w:rsidR="001F7E1F" w:rsidRDefault="001F7E1F" w:rsidP="00495804">
            <w:pPr>
              <w:jc w:val="both"/>
              <w:rPr>
                <w:bCs/>
              </w:rPr>
            </w:pPr>
            <w:proofErr w:type="spellStart"/>
            <w:r>
              <w:rPr>
                <w:bCs/>
              </w:rPr>
              <w:t>Διπλ</w:t>
            </w:r>
            <w:proofErr w:type="spellEnd"/>
            <w:r>
              <w:rPr>
                <w:bCs/>
              </w:rPr>
              <w:t>. Γραφείο κ. ΑΝΥΠΕΞ</w:t>
            </w:r>
          </w:p>
          <w:p w:rsidR="001F7E1F" w:rsidRDefault="001F7E1F" w:rsidP="00495804">
            <w:pPr>
              <w:jc w:val="both"/>
              <w:rPr>
                <w:bCs/>
              </w:rPr>
            </w:pPr>
            <w:proofErr w:type="spellStart"/>
            <w:r>
              <w:rPr>
                <w:bCs/>
              </w:rPr>
              <w:t>Διπλ</w:t>
            </w:r>
            <w:proofErr w:type="spellEnd"/>
            <w:r>
              <w:rPr>
                <w:bCs/>
              </w:rPr>
              <w:t xml:space="preserve">. Γραφείο ΥΦΥΠΕΞ κ. </w:t>
            </w:r>
            <w:proofErr w:type="spellStart"/>
            <w:r>
              <w:rPr>
                <w:bCs/>
              </w:rPr>
              <w:t>Φραγκογιάννη</w:t>
            </w:r>
            <w:proofErr w:type="spellEnd"/>
          </w:p>
          <w:p w:rsidR="001F7E1F" w:rsidRPr="0049673A" w:rsidRDefault="001F7E1F" w:rsidP="00495804">
            <w:pPr>
              <w:jc w:val="both"/>
              <w:rPr>
                <w:bCs/>
              </w:rPr>
            </w:pPr>
            <w:proofErr w:type="spellStart"/>
            <w:r>
              <w:rPr>
                <w:bCs/>
              </w:rPr>
              <w:t>Γραφ</w:t>
            </w:r>
            <w:proofErr w:type="spellEnd"/>
            <w:r>
              <w:rPr>
                <w:bCs/>
              </w:rPr>
              <w:t>. κ. Γεν. Γραμματέα</w:t>
            </w:r>
          </w:p>
          <w:p w:rsidR="001F7E1F" w:rsidRDefault="001F7E1F" w:rsidP="00495804">
            <w:pPr>
              <w:jc w:val="both"/>
            </w:pPr>
            <w:proofErr w:type="spellStart"/>
            <w:r>
              <w:rPr>
                <w:bCs/>
              </w:rPr>
              <w:t>Γραφ</w:t>
            </w:r>
            <w:proofErr w:type="spellEnd"/>
            <w:r>
              <w:rPr>
                <w:bCs/>
              </w:rPr>
              <w:t>. κ. Γεν. Γραμματέα ΔΟΣ &amp;</w:t>
            </w:r>
            <w:r w:rsidRPr="00F322F7">
              <w:rPr>
                <w:bCs/>
              </w:rPr>
              <w:t>Εξωστρ</w:t>
            </w:r>
            <w:r>
              <w:rPr>
                <w:bCs/>
              </w:rPr>
              <w:t>έφειας</w:t>
            </w:r>
          </w:p>
          <w:p w:rsidR="001F7E1F" w:rsidRDefault="00640264" w:rsidP="00495804">
            <w:pPr>
              <w:jc w:val="both"/>
            </w:pPr>
            <w:r>
              <w:t xml:space="preserve">κα Β’ Γενική Διευθύντρια </w:t>
            </w:r>
            <w:r w:rsidR="004B2C4D">
              <w:t xml:space="preserve"> </w:t>
            </w:r>
          </w:p>
          <w:p w:rsidR="006060EC" w:rsidRPr="006060EC" w:rsidRDefault="00DC6CB1" w:rsidP="00495804">
            <w:pPr>
              <w:jc w:val="both"/>
            </w:pPr>
            <w:r>
              <w:t xml:space="preserve">Β1 </w:t>
            </w:r>
            <w:r w:rsidR="005A3619">
              <w:t>&amp; Β</w:t>
            </w:r>
            <w:r w:rsidR="00703A58">
              <w:t xml:space="preserve">8 </w:t>
            </w:r>
            <w:r>
              <w:t xml:space="preserve">Διευθύνσεις </w:t>
            </w:r>
          </w:p>
          <w:p w:rsidR="00EB3562" w:rsidRDefault="001F7E1F" w:rsidP="00D97BFD">
            <w:r>
              <w:t xml:space="preserve">Γραφεία ΟΕΥ Μονάχου, </w:t>
            </w:r>
            <w:proofErr w:type="spellStart"/>
            <w:r>
              <w:t>Ντύσσελντορφ</w:t>
            </w:r>
            <w:proofErr w:type="spellEnd"/>
          </w:p>
          <w:p w:rsidR="00051AFB" w:rsidRDefault="00051AFB" w:rsidP="00D97BFD"/>
          <w:p w:rsidR="00051AFB" w:rsidRDefault="00051AFB" w:rsidP="00D97BFD">
            <w:r>
              <w:t>Υπουργείο Ανάπτυξης και Επενδύσεων (</w:t>
            </w:r>
            <w:proofErr w:type="spellStart"/>
            <w:r>
              <w:t>μ.η</w:t>
            </w:r>
            <w:proofErr w:type="spellEnd"/>
            <w:r>
              <w:t>.)</w:t>
            </w:r>
          </w:p>
          <w:p w:rsidR="00051AFB" w:rsidRDefault="00051AFB" w:rsidP="00D97BFD">
            <w:r>
              <w:t xml:space="preserve">Γραφείο κ. Υπουργού </w:t>
            </w:r>
          </w:p>
          <w:p w:rsidR="00EB3562" w:rsidRDefault="00EB3562" w:rsidP="00D97BFD"/>
          <w:p w:rsidR="00486406" w:rsidRDefault="00EB3562" w:rsidP="00D97BFD">
            <w:r>
              <w:t xml:space="preserve">Κεντρική Ένωση Επιμελητηρίων Ελλάδος (ΚΕΕΕ, </w:t>
            </w:r>
            <w:proofErr w:type="spellStart"/>
            <w:r>
              <w:t>μ.η</w:t>
            </w:r>
            <w:proofErr w:type="spellEnd"/>
            <w:r>
              <w:t>.)</w:t>
            </w:r>
          </w:p>
          <w:p w:rsidR="00EB3562" w:rsidRDefault="00EB3562" w:rsidP="00D97BFD">
            <w:proofErr w:type="spellStart"/>
            <w:r>
              <w:t>Έμπορικό</w:t>
            </w:r>
            <w:proofErr w:type="spellEnd"/>
            <w:r>
              <w:t xml:space="preserve"> και Βιομηχανικό Επιμελητήριο Αθηνών</w:t>
            </w:r>
          </w:p>
          <w:p w:rsidR="00EB3562" w:rsidRDefault="00EB3562" w:rsidP="00D97BFD">
            <w:r>
              <w:t xml:space="preserve">(ΕΒΕΑ, </w:t>
            </w:r>
            <w:proofErr w:type="spellStart"/>
            <w:r>
              <w:t>μ.η</w:t>
            </w:r>
            <w:proofErr w:type="spellEnd"/>
            <w:r>
              <w:t>.)</w:t>
            </w:r>
          </w:p>
          <w:p w:rsidR="00EB3562" w:rsidRDefault="00EB3562" w:rsidP="00D97BFD">
            <w:r>
              <w:t xml:space="preserve">Εμπορικό και Βιομηχανικό Επιμελητήριο Θεσσαλονίκης </w:t>
            </w:r>
          </w:p>
          <w:p w:rsidR="00EB3562" w:rsidRDefault="00EB3562" w:rsidP="00D97BFD">
            <w:r>
              <w:t xml:space="preserve">(ΕΒΕΘ, </w:t>
            </w:r>
            <w:proofErr w:type="spellStart"/>
            <w:r>
              <w:t>μ.η</w:t>
            </w:r>
            <w:proofErr w:type="spellEnd"/>
            <w:r>
              <w:t>.)</w:t>
            </w:r>
          </w:p>
          <w:p w:rsidR="00EB3562" w:rsidRDefault="00EB3562" w:rsidP="00D97BFD">
            <w:r>
              <w:t>Εμπορικό και Βιομηχανικό Επιμελητήριο Πειραιώς</w:t>
            </w:r>
          </w:p>
          <w:p w:rsidR="00EB3562" w:rsidRDefault="00EB3562" w:rsidP="00D97BFD">
            <w:r>
              <w:t xml:space="preserve">(ΕΒΕΠ. </w:t>
            </w:r>
            <w:proofErr w:type="spellStart"/>
            <w:r>
              <w:t>μ.η</w:t>
            </w:r>
            <w:proofErr w:type="spellEnd"/>
            <w:r>
              <w:t>.)</w:t>
            </w:r>
          </w:p>
          <w:p w:rsidR="00EB3562" w:rsidRDefault="00EB3562" w:rsidP="00D97BFD">
            <w:r>
              <w:t xml:space="preserve">Βιοτεχνικό Επιμελητήριο Αθηνών </w:t>
            </w:r>
            <w:r w:rsidR="00486406">
              <w:t>(</w:t>
            </w:r>
            <w:proofErr w:type="spellStart"/>
            <w:r w:rsidR="00486406">
              <w:t>μ.η</w:t>
            </w:r>
            <w:proofErr w:type="spellEnd"/>
            <w:r w:rsidR="00486406">
              <w:t>.)</w:t>
            </w:r>
          </w:p>
          <w:p w:rsidR="00486406" w:rsidRDefault="00486406" w:rsidP="00D97BFD">
            <w:r>
              <w:t>Βιοτεχνικό Επιμελητήριο Θεσσαλονίκης (</w:t>
            </w:r>
            <w:proofErr w:type="spellStart"/>
            <w:r>
              <w:t>μ.η</w:t>
            </w:r>
            <w:proofErr w:type="spellEnd"/>
            <w:r>
              <w:t>.)</w:t>
            </w:r>
          </w:p>
          <w:p w:rsidR="00486406" w:rsidRPr="004D23E0" w:rsidRDefault="00486406" w:rsidP="00D97BFD">
            <w:r>
              <w:t>Βιοτεχνικό Επιμελητήριο Πειραιώς (</w:t>
            </w:r>
            <w:proofErr w:type="spellStart"/>
            <w:r>
              <w:t>μ.η</w:t>
            </w:r>
            <w:proofErr w:type="spellEnd"/>
            <w:r>
              <w:t>.)</w:t>
            </w:r>
          </w:p>
          <w:p w:rsidR="0097619C" w:rsidRPr="008D3360" w:rsidRDefault="0097619C" w:rsidP="00D97BFD">
            <w:pPr>
              <w:rPr>
                <w:b/>
              </w:rPr>
            </w:pPr>
          </w:p>
        </w:tc>
      </w:tr>
      <w:tr w:rsidR="00236C82" w:rsidRPr="00A27916" w:rsidTr="00F54BB1">
        <w:tc>
          <w:tcPr>
            <w:tcW w:w="1107" w:type="dxa"/>
            <w:hideMark/>
          </w:tcPr>
          <w:p w:rsidR="00236C82" w:rsidRDefault="00236C82" w:rsidP="0066141C">
            <w:pPr>
              <w:jc w:val="right"/>
              <w:rPr>
                <w:b/>
                <w:bCs/>
              </w:rPr>
            </w:pPr>
            <w:r>
              <w:rPr>
                <w:b/>
                <w:bCs/>
              </w:rPr>
              <w:t>Ε.Δ.:</w:t>
            </w:r>
          </w:p>
        </w:tc>
        <w:tc>
          <w:tcPr>
            <w:tcW w:w="407" w:type="dxa"/>
            <w:hideMark/>
          </w:tcPr>
          <w:p w:rsidR="00236C82" w:rsidRDefault="00236C82" w:rsidP="00782E71">
            <w:pPr>
              <w:jc w:val="both"/>
              <w:rPr>
                <w:bCs/>
              </w:rPr>
            </w:pPr>
            <w:r>
              <w:rPr>
                <w:bCs/>
              </w:rPr>
              <w:t>-</w:t>
            </w:r>
          </w:p>
        </w:tc>
        <w:tc>
          <w:tcPr>
            <w:tcW w:w="5999" w:type="dxa"/>
          </w:tcPr>
          <w:p w:rsidR="00236C82" w:rsidRDefault="00236C82" w:rsidP="00782E71">
            <w:pPr>
              <w:jc w:val="both"/>
              <w:rPr>
                <w:bCs/>
              </w:rPr>
            </w:pPr>
            <w:r>
              <w:rPr>
                <w:bCs/>
              </w:rPr>
              <w:t xml:space="preserve">Γραφείο κ. </w:t>
            </w:r>
            <w:proofErr w:type="spellStart"/>
            <w:r>
              <w:rPr>
                <w:bCs/>
              </w:rPr>
              <w:t>Πρέσβεως</w:t>
            </w:r>
            <w:proofErr w:type="spellEnd"/>
          </w:p>
        </w:tc>
      </w:tr>
    </w:tbl>
    <w:p w:rsidR="009F6DA0" w:rsidRDefault="009F6DA0" w:rsidP="00236C82">
      <w:pPr>
        <w:ind w:right="-694"/>
        <w:jc w:val="both"/>
        <w:rPr>
          <w:bCs/>
          <w:sz w:val="16"/>
          <w:szCs w:val="28"/>
        </w:rPr>
      </w:pPr>
    </w:p>
    <w:p w:rsidR="009F6DA0" w:rsidRPr="00F16EB2" w:rsidRDefault="009F6DA0" w:rsidP="00236C82">
      <w:pPr>
        <w:ind w:right="-694"/>
        <w:jc w:val="both"/>
        <w:rPr>
          <w:bCs/>
          <w:sz w:val="16"/>
          <w:szCs w:val="28"/>
        </w:rPr>
      </w:pPr>
    </w:p>
    <w:tbl>
      <w:tblPr>
        <w:tblW w:w="9251" w:type="dxa"/>
        <w:tblInd w:w="-212" w:type="dxa"/>
        <w:tblLook w:val="01E0"/>
      </w:tblPr>
      <w:tblGrid>
        <w:gridCol w:w="8946"/>
        <w:gridCol w:w="305"/>
      </w:tblGrid>
      <w:tr w:rsidR="00273E08" w:rsidRPr="000345B7" w:rsidTr="00273E08">
        <w:tc>
          <w:tcPr>
            <w:tcW w:w="9251" w:type="dxa"/>
            <w:gridSpan w:val="2"/>
            <w:hideMark/>
          </w:tcPr>
          <w:p w:rsidR="004D744C" w:rsidRPr="00A56DE2" w:rsidRDefault="00273E08" w:rsidP="000345B7">
            <w:pPr>
              <w:jc w:val="both"/>
              <w:rPr>
                <w:b/>
                <w:bCs/>
              </w:rPr>
            </w:pPr>
            <w:r w:rsidRPr="000345B7">
              <w:rPr>
                <w:b/>
                <w:bCs/>
              </w:rPr>
              <w:t>ΘΕΜΑ:</w:t>
            </w:r>
            <w:r w:rsidR="00A56DE2">
              <w:rPr>
                <w:b/>
                <w:bCs/>
              </w:rPr>
              <w:t xml:space="preserve">  «Κεντρική Στατιστική Ομοσπονδιακή Υ</w:t>
            </w:r>
            <w:r w:rsidR="00E21D2B">
              <w:rPr>
                <w:b/>
                <w:bCs/>
              </w:rPr>
              <w:t>πηρεσία – Εξελίξεις της Γερμανικής Οικονομίας για το 2020</w:t>
            </w:r>
            <w:r w:rsidR="00640264" w:rsidRPr="000345B7">
              <w:rPr>
                <w:b/>
                <w:bCs/>
              </w:rPr>
              <w:t>»</w:t>
            </w:r>
          </w:p>
          <w:p w:rsidR="00D16D2F" w:rsidRDefault="00D16D2F" w:rsidP="00251444">
            <w:pPr>
              <w:jc w:val="both"/>
              <w:rPr>
                <w:bCs/>
              </w:rPr>
            </w:pPr>
          </w:p>
          <w:p w:rsidR="000345B7" w:rsidRDefault="00E21D2B" w:rsidP="00251444">
            <w:pPr>
              <w:jc w:val="both"/>
              <w:rPr>
                <w:bCs/>
              </w:rPr>
            </w:pPr>
            <w:r>
              <w:rPr>
                <w:bCs/>
              </w:rPr>
              <w:t>Ενδιαφέροντα αναλυτικά στοιχεία για τις εξελίξεις της γερμανικής οικονομίας με το τέλος του 2020 δημοσιεύει σήμερα στην επίσημη ιστοσελίδα της η Κεντρική Ομοσπονδιακή Στατιστική Υπηρεσία</w:t>
            </w:r>
            <w:r w:rsidR="00541616">
              <w:rPr>
                <w:bCs/>
              </w:rPr>
              <w:t xml:space="preserve"> της Γερμανίας </w:t>
            </w:r>
            <w:r>
              <w:rPr>
                <w:bCs/>
              </w:rPr>
              <w:t>(</w:t>
            </w:r>
            <w:r>
              <w:rPr>
                <w:bCs/>
                <w:lang w:val="de-DE"/>
              </w:rPr>
              <w:t>DESTATIS</w:t>
            </w:r>
            <w:r w:rsidRPr="00E21D2B">
              <w:rPr>
                <w:bCs/>
              </w:rPr>
              <w:t xml:space="preserve">). </w:t>
            </w:r>
            <w:r>
              <w:rPr>
                <w:bCs/>
              </w:rPr>
              <w:t>Πιο συγκεκριμένα αυτά αναλύονται ως ακολούθως:</w:t>
            </w:r>
          </w:p>
          <w:p w:rsidR="00E21D2B" w:rsidRDefault="00E21D2B" w:rsidP="00251444">
            <w:pPr>
              <w:jc w:val="both"/>
              <w:rPr>
                <w:bCs/>
              </w:rPr>
            </w:pPr>
          </w:p>
          <w:p w:rsidR="00E21D2B" w:rsidRDefault="00E21D2B" w:rsidP="00251444">
            <w:pPr>
              <w:jc w:val="both"/>
              <w:rPr>
                <w:bCs/>
              </w:rPr>
            </w:pPr>
            <w:r>
              <w:rPr>
                <w:bCs/>
              </w:rPr>
              <w:t xml:space="preserve">Σύμφωνα με τους πρώτους υπολογισμούς το </w:t>
            </w:r>
            <w:r w:rsidRPr="00541616">
              <w:rPr>
                <w:b/>
                <w:bCs/>
              </w:rPr>
              <w:t>Ακαθάριστο Εγχώριο Προϊόν (ΑΕΠ)</w:t>
            </w:r>
            <w:r>
              <w:rPr>
                <w:bCs/>
              </w:rPr>
              <w:t xml:space="preserve"> ήταν για το έτος 2020 5,0% χαμηλότερο σε σχέση με το 2019. Μετά από μία δεκαετή περίοδο ανάπτυξης, η γερμανική οικονομία παρουσιάζει σημάδια βαθειάς ύφεσης για το 2020, μία κατάσταση παρόμοια με αυτήν της χρηματοπιστωτικής και οικονομικής κρίσης το 2008-2009. Ωστόσο και σύμφωνα με τους ίδιους υπολογισμούς το ποσοστό ύφεσης είναι κατά τι λιγότερο από την προαναφερόμενη χρονική περίοδο, όπου η ύφεση είχε φθάσει στο 5,7%.</w:t>
            </w:r>
          </w:p>
          <w:p w:rsidR="00E21D2B" w:rsidRDefault="00E21D2B" w:rsidP="00251444">
            <w:pPr>
              <w:jc w:val="both"/>
              <w:rPr>
                <w:bCs/>
              </w:rPr>
            </w:pPr>
          </w:p>
          <w:p w:rsidR="00E21D2B" w:rsidRDefault="00E21D2B" w:rsidP="00251444">
            <w:pPr>
              <w:jc w:val="both"/>
              <w:rPr>
                <w:bCs/>
              </w:rPr>
            </w:pPr>
            <w:r w:rsidRPr="00AD061A">
              <w:rPr>
                <w:b/>
                <w:bCs/>
              </w:rPr>
              <w:lastRenderedPageBreak/>
              <w:t>Η βιομηχανία και ο τομέας των υπηρεσιών</w:t>
            </w:r>
            <w:r>
              <w:rPr>
                <w:bCs/>
              </w:rPr>
              <w:t xml:space="preserve"> επλήγησαν σοβαρά από την υγειονομική κρίση της πανδημίας, ενώ αύξηση καταγράφεται μόνο στο τομέα των κατασκευών. </w:t>
            </w:r>
            <w:r w:rsidR="00946EAA">
              <w:rPr>
                <w:bCs/>
              </w:rPr>
              <w:t>Όλοι οι τομείς της οικονομίας επηρεάστηκαν σημαντικά από την κρίση της πανδημίας. Η παραγωγή μειώθηκε εν μέρει τόσο στο τομέα των υπηρεσιών όσο και στην βιομηχανία. Στον κλάδο της παραγωγής (εξαιρουμένου του τομέα των κατασκευών), που αντιπροσωπεύει λίγο περισσότερο από το ένα τέταρτο της συνολικής οικονομίας, οι τιμές που καταγράφονται είναι αρκετά αποθαρρυντικές με μειώσεις της τάξεως του 9,7% ενώ στο κλάδο της μεταποίησης μείωση έως και 10,4%. Ιδιαίτερα το πρώτο εξάμηνο του 2020 η βιομηχανία επηρεάσθηκε σε μεγάλο βαθμό από τις συνέπειες της κρίσης της πανδημίας όπως, για παράδειγμα, λόγω προσωρινών διακοπών στις παγκόσμιες αλυσίδες εφοδιασμού.</w:t>
            </w:r>
          </w:p>
          <w:p w:rsidR="001F63AC" w:rsidRDefault="001F63AC" w:rsidP="00251444">
            <w:pPr>
              <w:jc w:val="both"/>
              <w:rPr>
                <w:bCs/>
              </w:rPr>
            </w:pPr>
          </w:p>
          <w:p w:rsidR="001F63AC" w:rsidRDefault="001F63AC" w:rsidP="00251444">
            <w:pPr>
              <w:jc w:val="both"/>
              <w:rPr>
                <w:bCs/>
              </w:rPr>
            </w:pPr>
            <w:r>
              <w:rPr>
                <w:bCs/>
              </w:rPr>
              <w:t>Η ύφεση ήταν ιδιαίτερα έντονη στο τομέα των υπηρεσιών, όπου οι αρνητικές επιπτώσεις ήταν τόσο σοβαρές όσο ποτέ άλλοτε. Τομείς όπως το εμπόριο, οι μεταφορές, η διαμονή και οι υπηρεσίες τροφίμων παρουσίασαν πτώση έως και 6,3% σε σύγκριση προς το 2019. Αντίθετα αυξητικές τάσεις παρουσιάζονται στο ηλεκτρονικό εμπόριο, ενώ το παραδοσιακό λιανικό εμπόριο μειώθηκε σημαντικά. Επίσης οι αυστηροί περιορισμοί στη διαμονή, στην εστίαση και σε παρόμοιες υπηρεσίες οδήγησαν σε εξαιρετική μείωση των υπηρεσιών διαμονής και φαγητού.</w:t>
            </w:r>
          </w:p>
          <w:p w:rsidR="001F63AC" w:rsidRDefault="001F63AC" w:rsidP="00251444">
            <w:pPr>
              <w:jc w:val="both"/>
              <w:rPr>
                <w:bCs/>
              </w:rPr>
            </w:pPr>
          </w:p>
          <w:p w:rsidR="001F63AC" w:rsidRDefault="00AD061A" w:rsidP="00251444">
            <w:pPr>
              <w:jc w:val="both"/>
              <w:rPr>
                <w:bCs/>
              </w:rPr>
            </w:pPr>
            <w:r>
              <w:rPr>
                <w:bCs/>
              </w:rPr>
              <w:t>Ένας τομέας που διατήρησε τη θέση του κατά την διάρκεια της υγειονομικής κρίσης ήταν οι κατασκευές, όπου η προστιθέμενη αξία αυξήθηκε ακόμη και 1,4% από έτος σε έτος.</w:t>
            </w:r>
          </w:p>
          <w:p w:rsidR="00AD061A" w:rsidRDefault="00AD061A" w:rsidP="00251444">
            <w:pPr>
              <w:jc w:val="both"/>
              <w:rPr>
                <w:bCs/>
              </w:rPr>
            </w:pPr>
          </w:p>
          <w:p w:rsidR="00AD061A" w:rsidRPr="00AD061A" w:rsidRDefault="00AD061A" w:rsidP="00251444">
            <w:pPr>
              <w:jc w:val="both"/>
              <w:rPr>
                <w:b/>
                <w:bCs/>
              </w:rPr>
            </w:pPr>
            <w:r w:rsidRPr="00AD061A">
              <w:rPr>
                <w:b/>
                <w:bCs/>
              </w:rPr>
              <w:t>Μαζική  μείωση της εγχώριας και αλλοδαπής ζήτησης</w:t>
            </w:r>
          </w:p>
          <w:p w:rsidR="001F63AC" w:rsidRDefault="001F63AC" w:rsidP="00251444">
            <w:pPr>
              <w:jc w:val="both"/>
              <w:rPr>
                <w:bCs/>
              </w:rPr>
            </w:pPr>
          </w:p>
          <w:p w:rsidR="00AD061A" w:rsidRDefault="00AD061A" w:rsidP="00251444">
            <w:pPr>
              <w:jc w:val="both"/>
              <w:rPr>
                <w:bCs/>
              </w:rPr>
            </w:pPr>
            <w:r>
              <w:rPr>
                <w:bCs/>
              </w:rPr>
              <w:t xml:space="preserve">Ο τομέας της ζήτησης επηρεάσθηκε επίσης σε μεγάλο βαθμό από την κρίση της πανδημίας. Σε αντίθεση με την χρηματοπιστωτική και οικονομική κρίση, όταν η οικονομία υποστηρίχθηκε από όλες τις συνιστώσες των καταναλωτικών δαπανών, οι τελικές καταναλωτικές δαπάνες </w:t>
            </w:r>
            <w:r w:rsidR="00414E54">
              <w:rPr>
                <w:bCs/>
              </w:rPr>
              <w:t>των ιδιωτικών νοικοκυριών παρουσιάζουν σταδιακή μείωση έως και 6,0%, μείωση η οποία δεν έχει προηγούμενο. Από την άλλη πλευρά οι δαπάνες της τελικής κατανάλωσης της κυβέρνησης σημείωσαν αύξηση 3,4% και είχαν έντονα σταθεροποιητικό αποτέλεσμα ακόμη και κατά την διάρκεια της υγειονομικής κρίσης.</w:t>
            </w:r>
          </w:p>
          <w:p w:rsidR="00414E54" w:rsidRDefault="00414E54" w:rsidP="00251444">
            <w:pPr>
              <w:jc w:val="both"/>
              <w:rPr>
                <w:bCs/>
              </w:rPr>
            </w:pPr>
          </w:p>
          <w:p w:rsidR="00414E54" w:rsidRDefault="00414E54" w:rsidP="00251444">
            <w:pPr>
              <w:jc w:val="both"/>
              <w:rPr>
                <w:b/>
                <w:bCs/>
              </w:rPr>
            </w:pPr>
            <w:r w:rsidRPr="00414E54">
              <w:rPr>
                <w:b/>
                <w:bCs/>
              </w:rPr>
              <w:t>Η κρίση της πανδημίας είχε επίσης τεράστιο αντίκτυπο και στο εξωτερικό εμπόριο της Γερμανίας</w:t>
            </w:r>
          </w:p>
          <w:p w:rsidR="00414E54" w:rsidRDefault="00414E54" w:rsidP="00251444">
            <w:pPr>
              <w:jc w:val="both"/>
              <w:rPr>
                <w:b/>
                <w:bCs/>
              </w:rPr>
            </w:pPr>
          </w:p>
          <w:p w:rsidR="00414E54" w:rsidRDefault="00414E54" w:rsidP="00251444">
            <w:pPr>
              <w:jc w:val="both"/>
              <w:rPr>
                <w:bCs/>
              </w:rPr>
            </w:pPr>
            <w:r>
              <w:rPr>
                <w:bCs/>
              </w:rPr>
              <w:t>Οι εξαγωγές και εισαγωγές αγαθών και υπηρεσιών μειώθηκαν για πρώτη φορά το 2020 από το 2009, οι εξαγωγές κατά 9,9% και οι εισαγωγές κατά 8,6%. Η μείωση ήταν ιδιαίτερα μεγάλη στις εισαγωγές και τις υπηρεσίες κυρίως λόγω των χαμηλών επιδόσεων που κατέγραψε ο τομέας του τουρισμού.</w:t>
            </w:r>
          </w:p>
          <w:p w:rsidR="00414E54" w:rsidRDefault="00414E54" w:rsidP="00251444">
            <w:pPr>
              <w:jc w:val="both"/>
              <w:rPr>
                <w:bCs/>
              </w:rPr>
            </w:pPr>
          </w:p>
          <w:p w:rsidR="00414E54" w:rsidRPr="00414E54" w:rsidRDefault="00D80B2A" w:rsidP="00251444">
            <w:pPr>
              <w:jc w:val="both"/>
              <w:rPr>
                <w:b/>
                <w:bCs/>
              </w:rPr>
            </w:pPr>
            <w:r>
              <w:rPr>
                <w:b/>
                <w:bCs/>
              </w:rPr>
              <w:t xml:space="preserve">Έληξαν μετά από 14 χρόνια οι συνεχείς ανοδικές τάσεις </w:t>
            </w:r>
            <w:r w:rsidR="00414E54" w:rsidRPr="00414E54">
              <w:rPr>
                <w:b/>
                <w:bCs/>
              </w:rPr>
              <w:t xml:space="preserve">στην αγορά εργασίας </w:t>
            </w:r>
          </w:p>
          <w:p w:rsidR="00946EAA" w:rsidRDefault="00946EAA" w:rsidP="00251444">
            <w:pPr>
              <w:jc w:val="both"/>
              <w:rPr>
                <w:bCs/>
              </w:rPr>
            </w:pPr>
          </w:p>
          <w:p w:rsidR="00414E54" w:rsidRDefault="00414E54" w:rsidP="00251444">
            <w:pPr>
              <w:jc w:val="both"/>
              <w:rPr>
                <w:bCs/>
              </w:rPr>
            </w:pPr>
            <w:r>
              <w:rPr>
                <w:bCs/>
              </w:rPr>
              <w:t>Σε ετήσιο μέσο όρο για το 2020, οι οικονομικές επιδόσεις σε όλους τους τομείς σχεδόν της γερμανικής οικονομίας επιτεύχθηκαν από 44,8 εκατομμύρια εργαζόμενους. Λόγω της υγειονομικής κρίσης οι α</w:t>
            </w:r>
            <w:r w:rsidR="00D80B2A">
              <w:rPr>
                <w:bCs/>
              </w:rPr>
              <w:t>νοδικές τάσεις στην απασχόληση που διήρκεσαν περισσότερα από 14 χρόνια, ακόμη και κατά την χρηματοπιστωτική και οικονομική κρίση του 2008-2009, εισέρχονται πλέον σε περίοδο στασιμότητας. Οι νέες συνθήκες στην αγορά εργασίας επηρέασαν ιδιαίτερα τους οριακά απασχολούμενους και τους αυτοαπασχολούμενους, ενώ ο αριθμός των εργαζομένων που υπόκεινται σε κοινωνική ασφάλιση παρέμεινε σταθερός. Επίσης οι νέες απολύσεις φαίνεται ότι έχουν αποφευχθεί ειδικά από τους εκτεταμένους κανονισμούς με την παροχή εργασίας βραχυπρόθεσμης χρονικής διάρκειας.</w:t>
            </w:r>
          </w:p>
          <w:p w:rsidR="00D80B2A" w:rsidRDefault="00D80B2A" w:rsidP="00251444">
            <w:pPr>
              <w:jc w:val="both"/>
              <w:rPr>
                <w:bCs/>
              </w:rPr>
            </w:pPr>
          </w:p>
          <w:p w:rsidR="00541616" w:rsidRDefault="00541616" w:rsidP="00251444">
            <w:pPr>
              <w:jc w:val="both"/>
              <w:rPr>
                <w:bCs/>
              </w:rPr>
            </w:pPr>
          </w:p>
          <w:p w:rsidR="00D80B2A" w:rsidRDefault="00D80B2A" w:rsidP="00251444">
            <w:pPr>
              <w:jc w:val="both"/>
              <w:rPr>
                <w:b/>
                <w:bCs/>
              </w:rPr>
            </w:pPr>
            <w:r w:rsidRPr="00D80B2A">
              <w:rPr>
                <w:b/>
                <w:bCs/>
              </w:rPr>
              <w:lastRenderedPageBreak/>
              <w:t xml:space="preserve">Πρώτο οικονομικό έλλειμμα (καθαρός δανεισμός) της γενικής κυβέρνησης μετά από 8 χρόνια πλεονασμάτων </w:t>
            </w:r>
          </w:p>
          <w:p w:rsidR="00D80B2A" w:rsidRDefault="00D80B2A" w:rsidP="00251444">
            <w:pPr>
              <w:jc w:val="both"/>
              <w:rPr>
                <w:bCs/>
              </w:rPr>
            </w:pPr>
            <w:r>
              <w:rPr>
                <w:bCs/>
              </w:rPr>
              <w:t xml:space="preserve">Οι προϋπολογισμοί της Γενικής Κυβέρνησης κατέγραψαν, έως το τέλος 2020, οικονομικό έλλειμμα (καθαρό δανεισμό) ύψους 158,2 δις ευρώ, το μεγαλύτερο από το 2011 και το δεύτερο υψηλότερο έλλειμμα μετά την επανένωση της Γερμανίας. Η κεντρική κυβέρνηση κατέχει το μεγαλύτερο μερίδιο του χρηματοοικονομικού ελλείμματος (98,3 δις ευρώ), ακολουθούμενη από τα κρατικά ταμεία κοινωνικής ασφάλισης (26,1 δις ευρώ) και την τοπική αυτοδιοίκηση (2,0 δις ευρώ). </w:t>
            </w:r>
          </w:p>
          <w:p w:rsidR="003A40A0" w:rsidRDefault="003A40A0" w:rsidP="00251444">
            <w:pPr>
              <w:jc w:val="both"/>
              <w:rPr>
                <w:bCs/>
              </w:rPr>
            </w:pPr>
          </w:p>
          <w:p w:rsidR="007F6B18" w:rsidRDefault="007F6B18" w:rsidP="00251444">
            <w:pPr>
              <w:jc w:val="both"/>
              <w:rPr>
                <w:bCs/>
              </w:rPr>
            </w:pPr>
          </w:p>
          <w:p w:rsidR="007F6B18" w:rsidRDefault="007F6B18" w:rsidP="00251444">
            <w:pPr>
              <w:jc w:val="both"/>
              <w:rPr>
                <w:bCs/>
              </w:rPr>
            </w:pPr>
          </w:p>
          <w:p w:rsidR="007F6B18" w:rsidRDefault="007F6B18" w:rsidP="00251444">
            <w:pPr>
              <w:jc w:val="both"/>
              <w:rPr>
                <w:bCs/>
              </w:rPr>
            </w:pPr>
          </w:p>
          <w:p w:rsidR="007F6B18" w:rsidRDefault="007F6B18" w:rsidP="00251444">
            <w:pPr>
              <w:jc w:val="both"/>
              <w:rPr>
                <w:bCs/>
              </w:rPr>
            </w:pPr>
          </w:p>
          <w:p w:rsidR="007F6B18" w:rsidRDefault="007F6B18" w:rsidP="00251444">
            <w:pPr>
              <w:jc w:val="both"/>
              <w:rPr>
                <w:bCs/>
              </w:rPr>
            </w:pPr>
          </w:p>
          <w:p w:rsidR="003A40A0" w:rsidRDefault="003A40A0" w:rsidP="00251444">
            <w:pPr>
              <w:jc w:val="both"/>
              <w:rPr>
                <w:bCs/>
              </w:rPr>
            </w:pPr>
          </w:p>
          <w:p w:rsidR="003A40A0" w:rsidRDefault="003A40A0" w:rsidP="00251444">
            <w:pPr>
              <w:jc w:val="both"/>
              <w:rPr>
                <w:bCs/>
              </w:rPr>
            </w:pPr>
            <w:r>
              <w:rPr>
                <w:bCs/>
              </w:rPr>
              <w:t xml:space="preserve">                                                                          Ο Διευθύνων</w:t>
            </w:r>
          </w:p>
          <w:p w:rsidR="003A40A0" w:rsidRDefault="003A40A0" w:rsidP="00251444">
            <w:pPr>
              <w:jc w:val="both"/>
              <w:rPr>
                <w:bCs/>
              </w:rPr>
            </w:pPr>
          </w:p>
          <w:p w:rsidR="003A40A0" w:rsidRDefault="003A40A0" w:rsidP="00251444">
            <w:pPr>
              <w:jc w:val="both"/>
              <w:rPr>
                <w:bCs/>
              </w:rPr>
            </w:pPr>
          </w:p>
          <w:p w:rsidR="003A40A0" w:rsidRDefault="003A40A0" w:rsidP="00251444">
            <w:pPr>
              <w:jc w:val="both"/>
              <w:rPr>
                <w:bCs/>
              </w:rPr>
            </w:pPr>
            <w:r>
              <w:rPr>
                <w:bCs/>
              </w:rPr>
              <w:t xml:space="preserve">                                                                      Θεόδωρος </w:t>
            </w:r>
            <w:proofErr w:type="spellStart"/>
            <w:r>
              <w:rPr>
                <w:bCs/>
              </w:rPr>
              <w:t>Ξυπολιάς</w:t>
            </w:r>
            <w:proofErr w:type="spellEnd"/>
            <w:r>
              <w:rPr>
                <w:bCs/>
              </w:rPr>
              <w:t xml:space="preserve"> </w:t>
            </w:r>
          </w:p>
          <w:p w:rsidR="003A40A0" w:rsidRPr="00D80B2A" w:rsidRDefault="003A40A0" w:rsidP="00251444">
            <w:pPr>
              <w:jc w:val="both"/>
              <w:rPr>
                <w:bCs/>
              </w:rPr>
            </w:pPr>
            <w:r>
              <w:rPr>
                <w:bCs/>
              </w:rPr>
              <w:t xml:space="preserve">                                                                      Σύμβουλος Ο.Ε.Υ. Α΄</w:t>
            </w:r>
          </w:p>
          <w:p w:rsidR="000345B7" w:rsidRPr="00E21D2B" w:rsidRDefault="000345B7" w:rsidP="00251444">
            <w:pPr>
              <w:jc w:val="both"/>
              <w:rPr>
                <w:bCs/>
              </w:rPr>
            </w:pPr>
          </w:p>
          <w:p w:rsidR="000345B7" w:rsidRPr="00E21D2B" w:rsidRDefault="000345B7" w:rsidP="00251444">
            <w:pPr>
              <w:jc w:val="both"/>
              <w:rPr>
                <w:bCs/>
              </w:rPr>
            </w:pPr>
          </w:p>
          <w:p w:rsidR="000345B7" w:rsidRPr="00E21D2B" w:rsidRDefault="000345B7" w:rsidP="00251444">
            <w:pPr>
              <w:jc w:val="both"/>
              <w:rPr>
                <w:bCs/>
              </w:rPr>
            </w:pPr>
          </w:p>
          <w:p w:rsidR="000345B7" w:rsidRPr="00E21D2B" w:rsidRDefault="000345B7" w:rsidP="00251444">
            <w:pPr>
              <w:jc w:val="both"/>
              <w:rPr>
                <w:bCs/>
              </w:rPr>
            </w:pPr>
          </w:p>
          <w:p w:rsidR="00791C52" w:rsidRPr="000345B7" w:rsidRDefault="009F6DA0" w:rsidP="000345B7">
            <w:pPr>
              <w:jc w:val="both"/>
              <w:rPr>
                <w:bCs/>
              </w:rPr>
            </w:pPr>
            <w:r w:rsidRPr="000345B7">
              <w:rPr>
                <w:bCs/>
              </w:rPr>
              <w:t xml:space="preserve">                                        </w:t>
            </w:r>
            <w:r w:rsidR="00791C52" w:rsidRPr="000345B7">
              <w:rPr>
                <w:bCs/>
              </w:rPr>
              <w:t xml:space="preserve">                           </w:t>
            </w:r>
            <w:r w:rsidR="00FC55D8" w:rsidRPr="000345B7">
              <w:rPr>
                <w:bCs/>
              </w:rPr>
              <w:t xml:space="preserve">      </w:t>
            </w:r>
          </w:p>
          <w:p w:rsidR="009F6DA0" w:rsidRPr="000345B7" w:rsidRDefault="009F6DA0" w:rsidP="009F6DA0">
            <w:pPr>
              <w:jc w:val="both"/>
              <w:rPr>
                <w:b/>
                <w:bCs/>
              </w:rPr>
            </w:pPr>
          </w:p>
          <w:p w:rsidR="00F152C7" w:rsidRPr="000345B7" w:rsidRDefault="00F152C7" w:rsidP="00251444">
            <w:pPr>
              <w:jc w:val="both"/>
              <w:rPr>
                <w:b/>
                <w:bCs/>
              </w:rPr>
            </w:pPr>
          </w:p>
          <w:p w:rsidR="00273E08" w:rsidRPr="000345B7" w:rsidRDefault="00273E08" w:rsidP="00251444">
            <w:pPr>
              <w:jc w:val="both"/>
              <w:rPr>
                <w:bCs/>
              </w:rPr>
            </w:pPr>
          </w:p>
          <w:p w:rsidR="00273E08" w:rsidRPr="000345B7" w:rsidRDefault="00273E08" w:rsidP="00776CF9">
            <w:pPr>
              <w:jc w:val="both"/>
              <w:rPr>
                <w:bCs/>
              </w:rPr>
            </w:pPr>
            <w:r w:rsidRPr="000345B7">
              <w:rPr>
                <w:bCs/>
              </w:rPr>
              <w:t xml:space="preserve">                                                                          </w:t>
            </w:r>
          </w:p>
          <w:p w:rsidR="00273E08" w:rsidRPr="000345B7" w:rsidRDefault="00273E08" w:rsidP="00251444">
            <w:pPr>
              <w:jc w:val="both"/>
              <w:rPr>
                <w:bCs/>
              </w:rPr>
            </w:pPr>
            <w:r w:rsidRPr="000345B7">
              <w:rPr>
                <w:bCs/>
              </w:rPr>
              <w:t xml:space="preserve">  </w:t>
            </w:r>
          </w:p>
          <w:p w:rsidR="00273E08" w:rsidRPr="000345B7" w:rsidRDefault="00273E08" w:rsidP="00251444">
            <w:pPr>
              <w:jc w:val="both"/>
              <w:rPr>
                <w:bCs/>
              </w:rPr>
            </w:pPr>
          </w:p>
          <w:p w:rsidR="00273E08" w:rsidRPr="000345B7" w:rsidRDefault="00273E08" w:rsidP="00251444">
            <w:pPr>
              <w:jc w:val="both"/>
              <w:rPr>
                <w:bCs/>
              </w:rPr>
            </w:pPr>
          </w:p>
        </w:tc>
      </w:tr>
      <w:tr w:rsidR="00273E08" w:rsidRPr="00A27916" w:rsidTr="00273E08">
        <w:trPr>
          <w:gridAfter w:val="1"/>
          <w:wAfter w:w="305" w:type="dxa"/>
        </w:trPr>
        <w:tc>
          <w:tcPr>
            <w:tcW w:w="8946" w:type="dxa"/>
          </w:tcPr>
          <w:p w:rsidR="003C7B44" w:rsidRPr="008D3360" w:rsidRDefault="003C7B44" w:rsidP="00F152C7">
            <w:pPr>
              <w:rPr>
                <w:bCs/>
              </w:rPr>
            </w:pPr>
          </w:p>
        </w:tc>
      </w:tr>
      <w:tr w:rsidR="00273E08" w:rsidRPr="00A27916" w:rsidTr="00273E08">
        <w:trPr>
          <w:gridAfter w:val="1"/>
          <w:wAfter w:w="305" w:type="dxa"/>
        </w:trPr>
        <w:tc>
          <w:tcPr>
            <w:tcW w:w="8946" w:type="dxa"/>
          </w:tcPr>
          <w:p w:rsidR="00273E08" w:rsidRDefault="00273E08" w:rsidP="00B12DE8">
            <w:pPr>
              <w:jc w:val="both"/>
              <w:rPr>
                <w:b/>
                <w:bCs/>
              </w:rPr>
            </w:pPr>
          </w:p>
        </w:tc>
      </w:tr>
      <w:tr w:rsidR="00273E08" w:rsidRPr="00A27916" w:rsidTr="00273E08">
        <w:trPr>
          <w:gridAfter w:val="1"/>
          <w:wAfter w:w="305" w:type="dxa"/>
        </w:trPr>
        <w:tc>
          <w:tcPr>
            <w:tcW w:w="8946" w:type="dxa"/>
          </w:tcPr>
          <w:p w:rsidR="00273E08" w:rsidRDefault="00273E08" w:rsidP="00B12DE8">
            <w:pPr>
              <w:jc w:val="both"/>
              <w:rPr>
                <w:b/>
                <w:bCs/>
              </w:rPr>
            </w:pPr>
          </w:p>
        </w:tc>
      </w:tr>
      <w:tr w:rsidR="00273E08" w:rsidRPr="00A27916" w:rsidTr="00273E08">
        <w:trPr>
          <w:gridAfter w:val="1"/>
          <w:wAfter w:w="305" w:type="dxa"/>
        </w:trPr>
        <w:tc>
          <w:tcPr>
            <w:tcW w:w="8946" w:type="dxa"/>
          </w:tcPr>
          <w:p w:rsidR="00273E08" w:rsidRDefault="00273E08" w:rsidP="00B12DE8">
            <w:pPr>
              <w:jc w:val="both"/>
              <w:rPr>
                <w:b/>
                <w:bCs/>
              </w:rPr>
            </w:pPr>
          </w:p>
        </w:tc>
      </w:tr>
      <w:tr w:rsidR="00273E08" w:rsidRPr="00A27916" w:rsidTr="00273E08">
        <w:trPr>
          <w:gridAfter w:val="1"/>
          <w:wAfter w:w="305" w:type="dxa"/>
        </w:trPr>
        <w:tc>
          <w:tcPr>
            <w:tcW w:w="8946" w:type="dxa"/>
          </w:tcPr>
          <w:p w:rsidR="00273E08" w:rsidRDefault="00273E08" w:rsidP="00B12DE8">
            <w:pPr>
              <w:jc w:val="both"/>
              <w:rPr>
                <w:b/>
                <w:bCs/>
              </w:rPr>
            </w:pPr>
          </w:p>
        </w:tc>
      </w:tr>
      <w:tr w:rsidR="00273E08" w:rsidRPr="00A27916" w:rsidTr="00273E08">
        <w:trPr>
          <w:gridAfter w:val="1"/>
          <w:wAfter w:w="305" w:type="dxa"/>
        </w:trPr>
        <w:tc>
          <w:tcPr>
            <w:tcW w:w="8946" w:type="dxa"/>
          </w:tcPr>
          <w:p w:rsidR="00273E08" w:rsidRDefault="00273E08" w:rsidP="00B12DE8">
            <w:pPr>
              <w:jc w:val="both"/>
              <w:rPr>
                <w:b/>
                <w:bCs/>
              </w:rPr>
            </w:pPr>
          </w:p>
        </w:tc>
      </w:tr>
    </w:tbl>
    <w:p w:rsidR="001D54DA" w:rsidRPr="00F16EB2" w:rsidRDefault="001D54DA" w:rsidP="001D54DA">
      <w:pPr>
        <w:spacing w:before="60" w:after="60" w:line="300" w:lineRule="auto"/>
        <w:ind w:right="-241"/>
        <w:jc w:val="both"/>
        <w:rPr>
          <w:b/>
          <w:sz w:val="6"/>
        </w:rPr>
      </w:pPr>
    </w:p>
    <w:sectPr w:rsidR="001D54DA" w:rsidRPr="00F16EB2" w:rsidSect="00B379A0">
      <w:footerReference w:type="default" r:id="rId10"/>
      <w:pgSz w:w="11906" w:h="16838"/>
      <w:pgMar w:top="851" w:right="1133" w:bottom="568" w:left="1800" w:header="708" w:footer="5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70D7" w:rsidRDefault="003C70D7" w:rsidP="0014093E">
      <w:r>
        <w:separator/>
      </w:r>
    </w:p>
  </w:endnote>
  <w:endnote w:type="continuationSeparator" w:id="1">
    <w:p w:rsidR="003C70D7" w:rsidRDefault="003C70D7" w:rsidP="001409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taNormalLF-Roman">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0D7" w:rsidRPr="00AF2A95" w:rsidRDefault="003C70D7" w:rsidP="0074232E">
    <w:pPr>
      <w:pStyle w:val="Footer"/>
      <w:jc w:val="right"/>
      <w:rPr>
        <w:b/>
        <w:sz w:val="2"/>
        <w:szCs w:val="2"/>
      </w:rPr>
    </w:pPr>
    <w:r>
      <w:rPr>
        <w:b/>
      </w:rPr>
      <w:t>_____________________________________________________________________</w:t>
    </w:r>
  </w:p>
  <w:p w:rsidR="003C70D7" w:rsidRDefault="003C70D7" w:rsidP="0074232E">
    <w:pPr>
      <w:pStyle w:val="Footer"/>
      <w:jc w:val="center"/>
      <w:rPr>
        <w:b/>
        <w:sz w:val="20"/>
        <w:szCs w:val="20"/>
      </w:rPr>
    </w:pPr>
    <w:r>
      <w:rPr>
        <w:b/>
        <w:sz w:val="20"/>
        <w:szCs w:val="20"/>
      </w:rPr>
      <w:t>ΑΔΙΑΒΑΘΜΗΤΟ - ΚΑΝΟΝΙΚΟ</w:t>
    </w:r>
  </w:p>
  <w:p w:rsidR="003C70D7" w:rsidRPr="00914D01" w:rsidRDefault="003C70D7" w:rsidP="00BA26FF">
    <w:pPr>
      <w:ind w:right="42"/>
      <w:jc w:val="right"/>
    </w:pPr>
    <w:bookmarkStart w:id="0" w:name="_GoBack"/>
    <w:bookmarkEnd w:id="0"/>
    <w:r>
      <w:rPr>
        <w:sz w:val="20"/>
        <w:szCs w:val="20"/>
      </w:rPr>
      <w:t xml:space="preserve">Σελίδα </w:t>
    </w:r>
    <w:r>
      <w:rPr>
        <w:sz w:val="20"/>
        <w:szCs w:val="20"/>
      </w:rPr>
      <w:fldChar w:fldCharType="begin"/>
    </w:r>
    <w:r>
      <w:rPr>
        <w:sz w:val="20"/>
        <w:szCs w:val="20"/>
      </w:rPr>
      <w:instrText xml:space="preserve"> PAGE </w:instrText>
    </w:r>
    <w:r>
      <w:rPr>
        <w:sz w:val="20"/>
        <w:szCs w:val="20"/>
      </w:rPr>
      <w:fldChar w:fldCharType="separate"/>
    </w:r>
    <w:r w:rsidR="00CF7B3D">
      <w:rPr>
        <w:noProof/>
        <w:sz w:val="20"/>
        <w:szCs w:val="20"/>
      </w:rPr>
      <w:t>1</w:t>
    </w:r>
    <w:r>
      <w:rPr>
        <w:sz w:val="20"/>
        <w:szCs w:val="20"/>
      </w:rPr>
      <w:fldChar w:fldCharType="end"/>
    </w:r>
    <w:r>
      <w:rPr>
        <w:sz w:val="20"/>
        <w:szCs w:val="20"/>
      </w:rPr>
      <w:t xml:space="preserve"> από </w:t>
    </w:r>
    <w:r>
      <w:rPr>
        <w:sz w:val="20"/>
        <w:szCs w:val="20"/>
      </w:rPr>
      <w:fldChar w:fldCharType="begin"/>
    </w:r>
    <w:r>
      <w:rPr>
        <w:sz w:val="20"/>
        <w:szCs w:val="20"/>
      </w:rPr>
      <w:instrText xml:space="preserve"> NUMPAGES  </w:instrText>
    </w:r>
    <w:r>
      <w:rPr>
        <w:sz w:val="20"/>
        <w:szCs w:val="20"/>
      </w:rPr>
      <w:fldChar w:fldCharType="separate"/>
    </w:r>
    <w:r w:rsidR="00CF7B3D">
      <w:rPr>
        <w:noProof/>
        <w:sz w:val="20"/>
        <w:szCs w:val="20"/>
      </w:rPr>
      <w:t>3</w:t>
    </w:r>
    <w:r>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70D7" w:rsidRDefault="003C70D7" w:rsidP="0014093E">
      <w:r>
        <w:separator/>
      </w:r>
    </w:p>
  </w:footnote>
  <w:footnote w:type="continuationSeparator" w:id="1">
    <w:p w:rsidR="003C70D7" w:rsidRDefault="003C70D7" w:rsidP="001409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FE4"/>
    <w:multiLevelType w:val="hybridMultilevel"/>
    <w:tmpl w:val="B71AFE50"/>
    <w:lvl w:ilvl="0" w:tplc="4F2EF22A">
      <w:start w:val="1"/>
      <w:numFmt w:val="lowerRoman"/>
      <w:lvlText w:val="%1."/>
      <w:lvlJc w:val="left"/>
      <w:pPr>
        <w:ind w:left="270" w:hanging="720"/>
      </w:pPr>
      <w:rPr>
        <w:rFonts w:hint="default"/>
        <w:b/>
      </w:rPr>
    </w:lvl>
    <w:lvl w:ilvl="1" w:tplc="04080019" w:tentative="1">
      <w:start w:val="1"/>
      <w:numFmt w:val="lowerLetter"/>
      <w:lvlText w:val="%2."/>
      <w:lvlJc w:val="left"/>
      <w:pPr>
        <w:ind w:left="630" w:hanging="360"/>
      </w:pPr>
    </w:lvl>
    <w:lvl w:ilvl="2" w:tplc="0408001B" w:tentative="1">
      <w:start w:val="1"/>
      <w:numFmt w:val="lowerRoman"/>
      <w:lvlText w:val="%3."/>
      <w:lvlJc w:val="right"/>
      <w:pPr>
        <w:ind w:left="1350" w:hanging="180"/>
      </w:pPr>
    </w:lvl>
    <w:lvl w:ilvl="3" w:tplc="0408000F" w:tentative="1">
      <w:start w:val="1"/>
      <w:numFmt w:val="decimal"/>
      <w:lvlText w:val="%4."/>
      <w:lvlJc w:val="left"/>
      <w:pPr>
        <w:ind w:left="2070" w:hanging="360"/>
      </w:pPr>
    </w:lvl>
    <w:lvl w:ilvl="4" w:tplc="04080019" w:tentative="1">
      <w:start w:val="1"/>
      <w:numFmt w:val="lowerLetter"/>
      <w:lvlText w:val="%5."/>
      <w:lvlJc w:val="left"/>
      <w:pPr>
        <w:ind w:left="2790" w:hanging="360"/>
      </w:pPr>
    </w:lvl>
    <w:lvl w:ilvl="5" w:tplc="0408001B" w:tentative="1">
      <w:start w:val="1"/>
      <w:numFmt w:val="lowerRoman"/>
      <w:lvlText w:val="%6."/>
      <w:lvlJc w:val="right"/>
      <w:pPr>
        <w:ind w:left="3510" w:hanging="180"/>
      </w:pPr>
    </w:lvl>
    <w:lvl w:ilvl="6" w:tplc="0408000F" w:tentative="1">
      <w:start w:val="1"/>
      <w:numFmt w:val="decimal"/>
      <w:lvlText w:val="%7."/>
      <w:lvlJc w:val="left"/>
      <w:pPr>
        <w:ind w:left="4230" w:hanging="360"/>
      </w:pPr>
    </w:lvl>
    <w:lvl w:ilvl="7" w:tplc="04080019" w:tentative="1">
      <w:start w:val="1"/>
      <w:numFmt w:val="lowerLetter"/>
      <w:lvlText w:val="%8."/>
      <w:lvlJc w:val="left"/>
      <w:pPr>
        <w:ind w:left="4950" w:hanging="360"/>
      </w:pPr>
    </w:lvl>
    <w:lvl w:ilvl="8" w:tplc="0408001B" w:tentative="1">
      <w:start w:val="1"/>
      <w:numFmt w:val="lowerRoman"/>
      <w:lvlText w:val="%9."/>
      <w:lvlJc w:val="right"/>
      <w:pPr>
        <w:ind w:left="5670" w:hanging="180"/>
      </w:pPr>
    </w:lvl>
  </w:abstractNum>
  <w:abstractNum w:abstractNumId="1">
    <w:nsid w:val="038777E3"/>
    <w:multiLevelType w:val="multilevel"/>
    <w:tmpl w:val="0914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F049BF"/>
    <w:multiLevelType w:val="hybridMultilevel"/>
    <w:tmpl w:val="BAF8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5A792B"/>
    <w:multiLevelType w:val="multilevel"/>
    <w:tmpl w:val="8BF2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C85252"/>
    <w:multiLevelType w:val="hybridMultilevel"/>
    <w:tmpl w:val="41BA126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nsid w:val="161672FE"/>
    <w:multiLevelType w:val="hybridMultilevel"/>
    <w:tmpl w:val="D158C80C"/>
    <w:lvl w:ilvl="0" w:tplc="2B54A5FE">
      <w:start w:val="1"/>
      <w:numFmt w:val="bullet"/>
      <w:lvlText w:val=""/>
      <w:lvlJc w:val="left"/>
      <w:pPr>
        <w:ind w:left="360" w:hanging="360"/>
      </w:pPr>
      <w:rPr>
        <w:rFonts w:ascii="Wingdings" w:hAnsi="Wingdings" w:hint="default"/>
        <w:b/>
        <w:sz w:val="20"/>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6">
    <w:nsid w:val="248D6E8D"/>
    <w:multiLevelType w:val="multilevel"/>
    <w:tmpl w:val="D3D2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CF45AE"/>
    <w:multiLevelType w:val="hybridMultilevel"/>
    <w:tmpl w:val="E91EA2CA"/>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nsid w:val="2CB565BB"/>
    <w:multiLevelType w:val="hybridMultilevel"/>
    <w:tmpl w:val="CBEA73CC"/>
    <w:lvl w:ilvl="0" w:tplc="9C8A08CC">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9">
    <w:nsid w:val="32A94D33"/>
    <w:multiLevelType w:val="hybridMultilevel"/>
    <w:tmpl w:val="79D8BFCC"/>
    <w:lvl w:ilvl="0" w:tplc="6D0CCBB6">
      <w:start w:val="1"/>
      <w:numFmt w:val="decimal"/>
      <w:lvlText w:val="%1."/>
      <w:lvlJc w:val="left"/>
      <w:pPr>
        <w:tabs>
          <w:tab w:val="num" w:pos="420"/>
        </w:tabs>
        <w:ind w:left="420" w:hanging="360"/>
      </w:pPr>
      <w:rPr>
        <w:rFonts w:hint="default"/>
        <w:sz w:val="24"/>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10">
    <w:nsid w:val="37C95DC3"/>
    <w:multiLevelType w:val="hybridMultilevel"/>
    <w:tmpl w:val="B70E31DE"/>
    <w:lvl w:ilvl="0" w:tplc="0408000B">
      <w:start w:val="1"/>
      <w:numFmt w:val="bullet"/>
      <w:lvlText w:val=""/>
      <w:lvlJc w:val="left"/>
      <w:pPr>
        <w:ind w:left="1506" w:hanging="360"/>
      </w:pPr>
      <w:rPr>
        <w:rFonts w:ascii="Wingdings" w:hAnsi="Wingdings" w:hint="default"/>
      </w:rPr>
    </w:lvl>
    <w:lvl w:ilvl="1" w:tplc="04080003" w:tentative="1">
      <w:start w:val="1"/>
      <w:numFmt w:val="bullet"/>
      <w:lvlText w:val="o"/>
      <w:lvlJc w:val="left"/>
      <w:pPr>
        <w:ind w:left="2226" w:hanging="360"/>
      </w:pPr>
      <w:rPr>
        <w:rFonts w:ascii="Courier New" w:hAnsi="Courier New" w:cs="Courier New" w:hint="default"/>
      </w:rPr>
    </w:lvl>
    <w:lvl w:ilvl="2" w:tplc="04080005" w:tentative="1">
      <w:start w:val="1"/>
      <w:numFmt w:val="bullet"/>
      <w:lvlText w:val=""/>
      <w:lvlJc w:val="left"/>
      <w:pPr>
        <w:ind w:left="2946" w:hanging="360"/>
      </w:pPr>
      <w:rPr>
        <w:rFonts w:ascii="Wingdings" w:hAnsi="Wingdings" w:hint="default"/>
      </w:rPr>
    </w:lvl>
    <w:lvl w:ilvl="3" w:tplc="04080001" w:tentative="1">
      <w:start w:val="1"/>
      <w:numFmt w:val="bullet"/>
      <w:lvlText w:val=""/>
      <w:lvlJc w:val="left"/>
      <w:pPr>
        <w:ind w:left="3666" w:hanging="360"/>
      </w:pPr>
      <w:rPr>
        <w:rFonts w:ascii="Symbol" w:hAnsi="Symbol" w:hint="default"/>
      </w:rPr>
    </w:lvl>
    <w:lvl w:ilvl="4" w:tplc="04080003" w:tentative="1">
      <w:start w:val="1"/>
      <w:numFmt w:val="bullet"/>
      <w:lvlText w:val="o"/>
      <w:lvlJc w:val="left"/>
      <w:pPr>
        <w:ind w:left="4386" w:hanging="360"/>
      </w:pPr>
      <w:rPr>
        <w:rFonts w:ascii="Courier New" w:hAnsi="Courier New" w:cs="Courier New" w:hint="default"/>
      </w:rPr>
    </w:lvl>
    <w:lvl w:ilvl="5" w:tplc="04080005" w:tentative="1">
      <w:start w:val="1"/>
      <w:numFmt w:val="bullet"/>
      <w:lvlText w:val=""/>
      <w:lvlJc w:val="left"/>
      <w:pPr>
        <w:ind w:left="5106" w:hanging="360"/>
      </w:pPr>
      <w:rPr>
        <w:rFonts w:ascii="Wingdings" w:hAnsi="Wingdings" w:hint="default"/>
      </w:rPr>
    </w:lvl>
    <w:lvl w:ilvl="6" w:tplc="04080001" w:tentative="1">
      <w:start w:val="1"/>
      <w:numFmt w:val="bullet"/>
      <w:lvlText w:val=""/>
      <w:lvlJc w:val="left"/>
      <w:pPr>
        <w:ind w:left="5826" w:hanging="360"/>
      </w:pPr>
      <w:rPr>
        <w:rFonts w:ascii="Symbol" w:hAnsi="Symbol" w:hint="default"/>
      </w:rPr>
    </w:lvl>
    <w:lvl w:ilvl="7" w:tplc="04080003" w:tentative="1">
      <w:start w:val="1"/>
      <w:numFmt w:val="bullet"/>
      <w:lvlText w:val="o"/>
      <w:lvlJc w:val="left"/>
      <w:pPr>
        <w:ind w:left="6546" w:hanging="360"/>
      </w:pPr>
      <w:rPr>
        <w:rFonts w:ascii="Courier New" w:hAnsi="Courier New" w:cs="Courier New" w:hint="default"/>
      </w:rPr>
    </w:lvl>
    <w:lvl w:ilvl="8" w:tplc="04080005" w:tentative="1">
      <w:start w:val="1"/>
      <w:numFmt w:val="bullet"/>
      <w:lvlText w:val=""/>
      <w:lvlJc w:val="left"/>
      <w:pPr>
        <w:ind w:left="7266" w:hanging="360"/>
      </w:pPr>
      <w:rPr>
        <w:rFonts w:ascii="Wingdings" w:hAnsi="Wingdings" w:hint="default"/>
      </w:rPr>
    </w:lvl>
  </w:abstractNum>
  <w:abstractNum w:abstractNumId="11">
    <w:nsid w:val="412A369D"/>
    <w:multiLevelType w:val="hybridMultilevel"/>
    <w:tmpl w:val="E5B01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48190B"/>
    <w:multiLevelType w:val="hybridMultilevel"/>
    <w:tmpl w:val="EEC216EA"/>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nsid w:val="47D16BA6"/>
    <w:multiLevelType w:val="hybridMultilevel"/>
    <w:tmpl w:val="97C2842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nsid w:val="4A351BE0"/>
    <w:multiLevelType w:val="hybridMultilevel"/>
    <w:tmpl w:val="7D92AB7E"/>
    <w:lvl w:ilvl="0" w:tplc="B40016C4">
      <w:start w:val="1"/>
      <w:numFmt w:val="decimal"/>
      <w:lvlText w:val="%1."/>
      <w:lvlJc w:val="left"/>
      <w:pPr>
        <w:ind w:left="1080" w:hanging="360"/>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5">
    <w:nsid w:val="4B6772C8"/>
    <w:multiLevelType w:val="hybridMultilevel"/>
    <w:tmpl w:val="6EBC89A8"/>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nsid w:val="5F7D0FFC"/>
    <w:multiLevelType w:val="hybridMultilevel"/>
    <w:tmpl w:val="D9BA38FE"/>
    <w:lvl w:ilvl="0" w:tplc="04080009">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7">
    <w:nsid w:val="63E21281"/>
    <w:multiLevelType w:val="hybridMultilevel"/>
    <w:tmpl w:val="1DE4115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6BD35DE3"/>
    <w:multiLevelType w:val="hybridMultilevel"/>
    <w:tmpl w:val="0BEA7F60"/>
    <w:lvl w:ilvl="0" w:tplc="6B76F72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nsid w:val="6F7C2F5B"/>
    <w:multiLevelType w:val="hybridMultilevel"/>
    <w:tmpl w:val="3418C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DE6003"/>
    <w:multiLevelType w:val="hybridMultilevel"/>
    <w:tmpl w:val="3C62ED8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1">
    <w:nsid w:val="71202391"/>
    <w:multiLevelType w:val="multilevel"/>
    <w:tmpl w:val="4D54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AA02D9"/>
    <w:multiLevelType w:val="hybridMultilevel"/>
    <w:tmpl w:val="79681F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6"/>
  </w:num>
  <w:num w:numId="11">
    <w:abstractNumId w:val="12"/>
  </w:num>
  <w:num w:numId="12">
    <w:abstractNumId w:val="10"/>
  </w:num>
  <w:num w:numId="13">
    <w:abstractNumId w:val="13"/>
  </w:num>
  <w:num w:numId="14">
    <w:abstractNumId w:val="17"/>
  </w:num>
  <w:num w:numId="15">
    <w:abstractNumId w:val="0"/>
  </w:num>
  <w:num w:numId="16">
    <w:abstractNumId w:val="18"/>
  </w:num>
  <w:num w:numId="17">
    <w:abstractNumId w:val="2"/>
  </w:num>
  <w:num w:numId="18">
    <w:abstractNumId w:val="21"/>
  </w:num>
  <w:num w:numId="19">
    <w:abstractNumId w:val="3"/>
  </w:num>
  <w:num w:numId="20">
    <w:abstractNumId w:val="1"/>
  </w:num>
  <w:num w:numId="21">
    <w:abstractNumId w:val="6"/>
  </w:num>
  <w:num w:numId="22">
    <w:abstractNumId w:val="5"/>
  </w:num>
  <w:num w:numId="23">
    <w:abstractNumId w:val="11"/>
  </w:num>
  <w:num w:numId="24">
    <w:abstractNumId w:val="22"/>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113665"/>
  </w:hdrShapeDefaults>
  <w:footnotePr>
    <w:footnote w:id="0"/>
    <w:footnote w:id="1"/>
  </w:footnotePr>
  <w:endnotePr>
    <w:endnote w:id="0"/>
    <w:endnote w:id="1"/>
  </w:endnotePr>
  <w:compat/>
  <w:rsids>
    <w:rsidRoot w:val="00C26DB6"/>
    <w:rsid w:val="0000163C"/>
    <w:rsid w:val="000024EC"/>
    <w:rsid w:val="00002ABE"/>
    <w:rsid w:val="00002E43"/>
    <w:rsid w:val="0000410D"/>
    <w:rsid w:val="000062BB"/>
    <w:rsid w:val="0000637E"/>
    <w:rsid w:val="00006F04"/>
    <w:rsid w:val="00007792"/>
    <w:rsid w:val="00007E18"/>
    <w:rsid w:val="00007F3B"/>
    <w:rsid w:val="00010BD3"/>
    <w:rsid w:val="00010E0E"/>
    <w:rsid w:val="00010F85"/>
    <w:rsid w:val="00011052"/>
    <w:rsid w:val="00011DBF"/>
    <w:rsid w:val="00011F4C"/>
    <w:rsid w:val="00012BAC"/>
    <w:rsid w:val="00015463"/>
    <w:rsid w:val="00015BE2"/>
    <w:rsid w:val="00015F67"/>
    <w:rsid w:val="00015F88"/>
    <w:rsid w:val="00017943"/>
    <w:rsid w:val="0002017A"/>
    <w:rsid w:val="0002163B"/>
    <w:rsid w:val="00021ECB"/>
    <w:rsid w:val="0002280C"/>
    <w:rsid w:val="00022B61"/>
    <w:rsid w:val="0002381D"/>
    <w:rsid w:val="000242D3"/>
    <w:rsid w:val="0002431F"/>
    <w:rsid w:val="000247CB"/>
    <w:rsid w:val="000252C6"/>
    <w:rsid w:val="00026095"/>
    <w:rsid w:val="00026251"/>
    <w:rsid w:val="00027EE6"/>
    <w:rsid w:val="000304F8"/>
    <w:rsid w:val="00030613"/>
    <w:rsid w:val="00031CE9"/>
    <w:rsid w:val="00032539"/>
    <w:rsid w:val="0003257D"/>
    <w:rsid w:val="00033494"/>
    <w:rsid w:val="000334F1"/>
    <w:rsid w:val="00033723"/>
    <w:rsid w:val="000345B7"/>
    <w:rsid w:val="00035DD0"/>
    <w:rsid w:val="00036D98"/>
    <w:rsid w:val="000407DB"/>
    <w:rsid w:val="00044329"/>
    <w:rsid w:val="0004464E"/>
    <w:rsid w:val="00045AB6"/>
    <w:rsid w:val="00046FB3"/>
    <w:rsid w:val="00047F9D"/>
    <w:rsid w:val="00051AFB"/>
    <w:rsid w:val="00053626"/>
    <w:rsid w:val="00053FCF"/>
    <w:rsid w:val="00054363"/>
    <w:rsid w:val="00054E39"/>
    <w:rsid w:val="00055113"/>
    <w:rsid w:val="0005619A"/>
    <w:rsid w:val="00057FA1"/>
    <w:rsid w:val="000606D7"/>
    <w:rsid w:val="0006093E"/>
    <w:rsid w:val="00062421"/>
    <w:rsid w:val="00062C69"/>
    <w:rsid w:val="00063036"/>
    <w:rsid w:val="000655AA"/>
    <w:rsid w:val="00065E98"/>
    <w:rsid w:val="00070E59"/>
    <w:rsid w:val="00073DB6"/>
    <w:rsid w:val="00074EDA"/>
    <w:rsid w:val="000750ED"/>
    <w:rsid w:val="00076D25"/>
    <w:rsid w:val="000770F6"/>
    <w:rsid w:val="00077747"/>
    <w:rsid w:val="00081940"/>
    <w:rsid w:val="00081C0C"/>
    <w:rsid w:val="00081C0F"/>
    <w:rsid w:val="000830DF"/>
    <w:rsid w:val="000844C5"/>
    <w:rsid w:val="0008479F"/>
    <w:rsid w:val="0008591A"/>
    <w:rsid w:val="000879E7"/>
    <w:rsid w:val="00090F04"/>
    <w:rsid w:val="00091B20"/>
    <w:rsid w:val="00091D7B"/>
    <w:rsid w:val="00092693"/>
    <w:rsid w:val="0009481C"/>
    <w:rsid w:val="00096154"/>
    <w:rsid w:val="00096705"/>
    <w:rsid w:val="000A1610"/>
    <w:rsid w:val="000A1B29"/>
    <w:rsid w:val="000A20B3"/>
    <w:rsid w:val="000A302A"/>
    <w:rsid w:val="000A361C"/>
    <w:rsid w:val="000A6CC7"/>
    <w:rsid w:val="000A75A7"/>
    <w:rsid w:val="000B0878"/>
    <w:rsid w:val="000B0921"/>
    <w:rsid w:val="000B276B"/>
    <w:rsid w:val="000B27EC"/>
    <w:rsid w:val="000B2D45"/>
    <w:rsid w:val="000B3C8A"/>
    <w:rsid w:val="000B454F"/>
    <w:rsid w:val="000B45E2"/>
    <w:rsid w:val="000B575F"/>
    <w:rsid w:val="000B6BE0"/>
    <w:rsid w:val="000B77E9"/>
    <w:rsid w:val="000B7E72"/>
    <w:rsid w:val="000B7EBD"/>
    <w:rsid w:val="000C01EE"/>
    <w:rsid w:val="000C1AFD"/>
    <w:rsid w:val="000C2652"/>
    <w:rsid w:val="000C2F41"/>
    <w:rsid w:val="000C4019"/>
    <w:rsid w:val="000C4248"/>
    <w:rsid w:val="000C46BB"/>
    <w:rsid w:val="000C5137"/>
    <w:rsid w:val="000C7EE0"/>
    <w:rsid w:val="000D0D91"/>
    <w:rsid w:val="000D15F2"/>
    <w:rsid w:val="000D1830"/>
    <w:rsid w:val="000D66B4"/>
    <w:rsid w:val="000D682A"/>
    <w:rsid w:val="000E1325"/>
    <w:rsid w:val="000E2125"/>
    <w:rsid w:val="000E3341"/>
    <w:rsid w:val="000E36A6"/>
    <w:rsid w:val="000E402F"/>
    <w:rsid w:val="000E539C"/>
    <w:rsid w:val="000E5A60"/>
    <w:rsid w:val="000E6FC7"/>
    <w:rsid w:val="000E730A"/>
    <w:rsid w:val="000F0043"/>
    <w:rsid w:val="000F12E8"/>
    <w:rsid w:val="000F253F"/>
    <w:rsid w:val="000F5BDE"/>
    <w:rsid w:val="000F5D85"/>
    <w:rsid w:val="000F6DD1"/>
    <w:rsid w:val="000F7568"/>
    <w:rsid w:val="000F7992"/>
    <w:rsid w:val="000F7A70"/>
    <w:rsid w:val="00101B25"/>
    <w:rsid w:val="00102499"/>
    <w:rsid w:val="00103351"/>
    <w:rsid w:val="00105F58"/>
    <w:rsid w:val="001077D2"/>
    <w:rsid w:val="00107A86"/>
    <w:rsid w:val="00107E5F"/>
    <w:rsid w:val="001127AC"/>
    <w:rsid w:val="0011368C"/>
    <w:rsid w:val="00115B36"/>
    <w:rsid w:val="001164BD"/>
    <w:rsid w:val="001177B5"/>
    <w:rsid w:val="00117C7C"/>
    <w:rsid w:val="00121FD4"/>
    <w:rsid w:val="00122AC2"/>
    <w:rsid w:val="00123395"/>
    <w:rsid w:val="00127949"/>
    <w:rsid w:val="00133613"/>
    <w:rsid w:val="00140280"/>
    <w:rsid w:val="0014093E"/>
    <w:rsid w:val="001410C2"/>
    <w:rsid w:val="00141689"/>
    <w:rsid w:val="00142218"/>
    <w:rsid w:val="00144C4F"/>
    <w:rsid w:val="00145FA4"/>
    <w:rsid w:val="00146050"/>
    <w:rsid w:val="001465F1"/>
    <w:rsid w:val="00146701"/>
    <w:rsid w:val="00147A0C"/>
    <w:rsid w:val="00151CBF"/>
    <w:rsid w:val="00151EB4"/>
    <w:rsid w:val="00152228"/>
    <w:rsid w:val="001524D0"/>
    <w:rsid w:val="001536B5"/>
    <w:rsid w:val="00154180"/>
    <w:rsid w:val="00154A4D"/>
    <w:rsid w:val="00156BA2"/>
    <w:rsid w:val="00160456"/>
    <w:rsid w:val="0016046F"/>
    <w:rsid w:val="001622A1"/>
    <w:rsid w:val="001649A6"/>
    <w:rsid w:val="00165A79"/>
    <w:rsid w:val="00166191"/>
    <w:rsid w:val="00166CA4"/>
    <w:rsid w:val="00167446"/>
    <w:rsid w:val="00167690"/>
    <w:rsid w:val="00167E3A"/>
    <w:rsid w:val="00170EE5"/>
    <w:rsid w:val="00171252"/>
    <w:rsid w:val="001717D4"/>
    <w:rsid w:val="001740E2"/>
    <w:rsid w:val="0017420A"/>
    <w:rsid w:val="00174AAC"/>
    <w:rsid w:val="00174C73"/>
    <w:rsid w:val="001759BB"/>
    <w:rsid w:val="00175FDD"/>
    <w:rsid w:val="00176989"/>
    <w:rsid w:val="001804F6"/>
    <w:rsid w:val="00180641"/>
    <w:rsid w:val="001815DC"/>
    <w:rsid w:val="00184CF3"/>
    <w:rsid w:val="0018521A"/>
    <w:rsid w:val="001876C5"/>
    <w:rsid w:val="00193092"/>
    <w:rsid w:val="00194FC0"/>
    <w:rsid w:val="00195C3B"/>
    <w:rsid w:val="00196030"/>
    <w:rsid w:val="001A3308"/>
    <w:rsid w:val="001A5A3F"/>
    <w:rsid w:val="001A5EE6"/>
    <w:rsid w:val="001A7CAF"/>
    <w:rsid w:val="001B06F2"/>
    <w:rsid w:val="001B4948"/>
    <w:rsid w:val="001B606B"/>
    <w:rsid w:val="001B6DA0"/>
    <w:rsid w:val="001B6E34"/>
    <w:rsid w:val="001C0077"/>
    <w:rsid w:val="001C00A3"/>
    <w:rsid w:val="001C01FC"/>
    <w:rsid w:val="001C042C"/>
    <w:rsid w:val="001C0CFC"/>
    <w:rsid w:val="001C222F"/>
    <w:rsid w:val="001C304D"/>
    <w:rsid w:val="001C3061"/>
    <w:rsid w:val="001C4401"/>
    <w:rsid w:val="001C4889"/>
    <w:rsid w:val="001C7BA6"/>
    <w:rsid w:val="001C7BEC"/>
    <w:rsid w:val="001D1788"/>
    <w:rsid w:val="001D1B65"/>
    <w:rsid w:val="001D1EDE"/>
    <w:rsid w:val="001D24FA"/>
    <w:rsid w:val="001D2708"/>
    <w:rsid w:val="001D2C5B"/>
    <w:rsid w:val="001D4294"/>
    <w:rsid w:val="001D47E9"/>
    <w:rsid w:val="001D4FA7"/>
    <w:rsid w:val="001D54DA"/>
    <w:rsid w:val="001D774F"/>
    <w:rsid w:val="001D7DA0"/>
    <w:rsid w:val="001E0B78"/>
    <w:rsid w:val="001E1A0E"/>
    <w:rsid w:val="001E1A6A"/>
    <w:rsid w:val="001E37FC"/>
    <w:rsid w:val="001E503D"/>
    <w:rsid w:val="001E52C4"/>
    <w:rsid w:val="001E599F"/>
    <w:rsid w:val="001E7E13"/>
    <w:rsid w:val="001F19DC"/>
    <w:rsid w:val="001F1CAB"/>
    <w:rsid w:val="001F6149"/>
    <w:rsid w:val="001F63AC"/>
    <w:rsid w:val="001F6B19"/>
    <w:rsid w:val="001F7B6C"/>
    <w:rsid w:val="001F7E1F"/>
    <w:rsid w:val="002008CE"/>
    <w:rsid w:val="00200D0B"/>
    <w:rsid w:val="00200EFF"/>
    <w:rsid w:val="00202AA7"/>
    <w:rsid w:val="0020310F"/>
    <w:rsid w:val="00203A4B"/>
    <w:rsid w:val="002042E0"/>
    <w:rsid w:val="00205180"/>
    <w:rsid w:val="002064A9"/>
    <w:rsid w:val="00210062"/>
    <w:rsid w:val="002109B6"/>
    <w:rsid w:val="002125A5"/>
    <w:rsid w:val="002127D0"/>
    <w:rsid w:val="002145FB"/>
    <w:rsid w:val="00214C46"/>
    <w:rsid w:val="00216276"/>
    <w:rsid w:val="00216293"/>
    <w:rsid w:val="00217A57"/>
    <w:rsid w:val="00220B7E"/>
    <w:rsid w:val="00221A45"/>
    <w:rsid w:val="00221DD6"/>
    <w:rsid w:val="0022381D"/>
    <w:rsid w:val="002258FD"/>
    <w:rsid w:val="002304D1"/>
    <w:rsid w:val="00232D02"/>
    <w:rsid w:val="0023300A"/>
    <w:rsid w:val="002340CD"/>
    <w:rsid w:val="00235796"/>
    <w:rsid w:val="002364F7"/>
    <w:rsid w:val="00236C82"/>
    <w:rsid w:val="00237551"/>
    <w:rsid w:val="00240627"/>
    <w:rsid w:val="002422A2"/>
    <w:rsid w:val="00243DFD"/>
    <w:rsid w:val="00244611"/>
    <w:rsid w:val="00244F64"/>
    <w:rsid w:val="002454F7"/>
    <w:rsid w:val="00250700"/>
    <w:rsid w:val="00251444"/>
    <w:rsid w:val="002522F3"/>
    <w:rsid w:val="002523BE"/>
    <w:rsid w:val="00252F59"/>
    <w:rsid w:val="00253783"/>
    <w:rsid w:val="002572F7"/>
    <w:rsid w:val="00257EA5"/>
    <w:rsid w:val="002618EA"/>
    <w:rsid w:val="002628E7"/>
    <w:rsid w:val="00264107"/>
    <w:rsid w:val="002654F3"/>
    <w:rsid w:val="00266589"/>
    <w:rsid w:val="0026659B"/>
    <w:rsid w:val="00266FAB"/>
    <w:rsid w:val="002717F8"/>
    <w:rsid w:val="00271E51"/>
    <w:rsid w:val="00273052"/>
    <w:rsid w:val="0027307E"/>
    <w:rsid w:val="00273E08"/>
    <w:rsid w:val="002743BE"/>
    <w:rsid w:val="00274770"/>
    <w:rsid w:val="00275CF6"/>
    <w:rsid w:val="00276ED2"/>
    <w:rsid w:val="00280155"/>
    <w:rsid w:val="002809E1"/>
    <w:rsid w:val="0028322D"/>
    <w:rsid w:val="00283C2B"/>
    <w:rsid w:val="00283FE5"/>
    <w:rsid w:val="00285F38"/>
    <w:rsid w:val="00286364"/>
    <w:rsid w:val="00286A29"/>
    <w:rsid w:val="0028702D"/>
    <w:rsid w:val="00287105"/>
    <w:rsid w:val="00287DD2"/>
    <w:rsid w:val="00290732"/>
    <w:rsid w:val="002930FA"/>
    <w:rsid w:val="00293E5E"/>
    <w:rsid w:val="002949D9"/>
    <w:rsid w:val="00294B7F"/>
    <w:rsid w:val="002952C2"/>
    <w:rsid w:val="00296025"/>
    <w:rsid w:val="00296E9B"/>
    <w:rsid w:val="002A030E"/>
    <w:rsid w:val="002A1168"/>
    <w:rsid w:val="002A25E2"/>
    <w:rsid w:val="002A41B9"/>
    <w:rsid w:val="002A58D9"/>
    <w:rsid w:val="002B0A19"/>
    <w:rsid w:val="002B16A1"/>
    <w:rsid w:val="002B33F3"/>
    <w:rsid w:val="002B5317"/>
    <w:rsid w:val="002C0BC9"/>
    <w:rsid w:val="002C14F7"/>
    <w:rsid w:val="002C2A34"/>
    <w:rsid w:val="002C5F2D"/>
    <w:rsid w:val="002C67E7"/>
    <w:rsid w:val="002C7306"/>
    <w:rsid w:val="002D02D1"/>
    <w:rsid w:val="002D18B7"/>
    <w:rsid w:val="002D4D31"/>
    <w:rsid w:val="002D4F33"/>
    <w:rsid w:val="002D5433"/>
    <w:rsid w:val="002D58BA"/>
    <w:rsid w:val="002D72FA"/>
    <w:rsid w:val="002D7321"/>
    <w:rsid w:val="002D7916"/>
    <w:rsid w:val="002E076B"/>
    <w:rsid w:val="002E1795"/>
    <w:rsid w:val="002E17F8"/>
    <w:rsid w:val="002E322E"/>
    <w:rsid w:val="002E7153"/>
    <w:rsid w:val="002F0DDC"/>
    <w:rsid w:val="002F1D66"/>
    <w:rsid w:val="002F238F"/>
    <w:rsid w:val="002F299C"/>
    <w:rsid w:val="002F3521"/>
    <w:rsid w:val="002F46C3"/>
    <w:rsid w:val="002F61B1"/>
    <w:rsid w:val="002F6E30"/>
    <w:rsid w:val="00300E98"/>
    <w:rsid w:val="003019E7"/>
    <w:rsid w:val="0030218A"/>
    <w:rsid w:val="003028E4"/>
    <w:rsid w:val="00303815"/>
    <w:rsid w:val="00305981"/>
    <w:rsid w:val="00307773"/>
    <w:rsid w:val="00311F0B"/>
    <w:rsid w:val="00313656"/>
    <w:rsid w:val="00313F7D"/>
    <w:rsid w:val="00314021"/>
    <w:rsid w:val="003148AD"/>
    <w:rsid w:val="00315D9B"/>
    <w:rsid w:val="00316A9F"/>
    <w:rsid w:val="00316ACA"/>
    <w:rsid w:val="003174B3"/>
    <w:rsid w:val="00317ABC"/>
    <w:rsid w:val="00322316"/>
    <w:rsid w:val="00322AAE"/>
    <w:rsid w:val="00323C0A"/>
    <w:rsid w:val="00332331"/>
    <w:rsid w:val="00333C1F"/>
    <w:rsid w:val="0033440E"/>
    <w:rsid w:val="0033540F"/>
    <w:rsid w:val="003354E2"/>
    <w:rsid w:val="003359BE"/>
    <w:rsid w:val="00335F9F"/>
    <w:rsid w:val="003371D9"/>
    <w:rsid w:val="00337E35"/>
    <w:rsid w:val="00337F4C"/>
    <w:rsid w:val="003400B2"/>
    <w:rsid w:val="00341861"/>
    <w:rsid w:val="003463FD"/>
    <w:rsid w:val="00347D17"/>
    <w:rsid w:val="00347DEA"/>
    <w:rsid w:val="00352C8F"/>
    <w:rsid w:val="003530CC"/>
    <w:rsid w:val="0036327E"/>
    <w:rsid w:val="003640A3"/>
    <w:rsid w:val="00364301"/>
    <w:rsid w:val="00364816"/>
    <w:rsid w:val="00367996"/>
    <w:rsid w:val="003723E0"/>
    <w:rsid w:val="003724CE"/>
    <w:rsid w:val="0037515F"/>
    <w:rsid w:val="00375A8A"/>
    <w:rsid w:val="003769D5"/>
    <w:rsid w:val="00376E6D"/>
    <w:rsid w:val="003773C4"/>
    <w:rsid w:val="003803CE"/>
    <w:rsid w:val="00380C6E"/>
    <w:rsid w:val="00381203"/>
    <w:rsid w:val="00381D03"/>
    <w:rsid w:val="003820CC"/>
    <w:rsid w:val="00382E76"/>
    <w:rsid w:val="00383024"/>
    <w:rsid w:val="00384110"/>
    <w:rsid w:val="0038613F"/>
    <w:rsid w:val="0038621F"/>
    <w:rsid w:val="00386694"/>
    <w:rsid w:val="00387AEF"/>
    <w:rsid w:val="00390080"/>
    <w:rsid w:val="00390985"/>
    <w:rsid w:val="00392870"/>
    <w:rsid w:val="0039419B"/>
    <w:rsid w:val="00394AC8"/>
    <w:rsid w:val="00394CB0"/>
    <w:rsid w:val="00394E3E"/>
    <w:rsid w:val="00394FC3"/>
    <w:rsid w:val="00395BA2"/>
    <w:rsid w:val="0039713A"/>
    <w:rsid w:val="003A21DC"/>
    <w:rsid w:val="003A2D53"/>
    <w:rsid w:val="003A3EA6"/>
    <w:rsid w:val="003A40A0"/>
    <w:rsid w:val="003A4367"/>
    <w:rsid w:val="003A52B0"/>
    <w:rsid w:val="003A556C"/>
    <w:rsid w:val="003A6E9C"/>
    <w:rsid w:val="003A7803"/>
    <w:rsid w:val="003B104B"/>
    <w:rsid w:val="003B1436"/>
    <w:rsid w:val="003B2695"/>
    <w:rsid w:val="003B427C"/>
    <w:rsid w:val="003B4A3A"/>
    <w:rsid w:val="003C0C89"/>
    <w:rsid w:val="003C2372"/>
    <w:rsid w:val="003C3E93"/>
    <w:rsid w:val="003C442D"/>
    <w:rsid w:val="003C457E"/>
    <w:rsid w:val="003C4C0E"/>
    <w:rsid w:val="003C70D7"/>
    <w:rsid w:val="003C7AAA"/>
    <w:rsid w:val="003C7B44"/>
    <w:rsid w:val="003D0DF5"/>
    <w:rsid w:val="003D15A1"/>
    <w:rsid w:val="003D1CA1"/>
    <w:rsid w:val="003D22AB"/>
    <w:rsid w:val="003D2430"/>
    <w:rsid w:val="003D2573"/>
    <w:rsid w:val="003D5667"/>
    <w:rsid w:val="003D6ABA"/>
    <w:rsid w:val="003E005D"/>
    <w:rsid w:val="003E00C1"/>
    <w:rsid w:val="003E0D4B"/>
    <w:rsid w:val="003E18D7"/>
    <w:rsid w:val="003E18E6"/>
    <w:rsid w:val="003E2FE0"/>
    <w:rsid w:val="003E3553"/>
    <w:rsid w:val="003E44C1"/>
    <w:rsid w:val="003E4FB6"/>
    <w:rsid w:val="003E5811"/>
    <w:rsid w:val="003E5BD6"/>
    <w:rsid w:val="003E62AE"/>
    <w:rsid w:val="003E6432"/>
    <w:rsid w:val="003E64E4"/>
    <w:rsid w:val="003E6715"/>
    <w:rsid w:val="003E71C6"/>
    <w:rsid w:val="003F104D"/>
    <w:rsid w:val="003F1CA9"/>
    <w:rsid w:val="003F21E3"/>
    <w:rsid w:val="003F26BC"/>
    <w:rsid w:val="003F3987"/>
    <w:rsid w:val="003F4736"/>
    <w:rsid w:val="003F6235"/>
    <w:rsid w:val="003F6A15"/>
    <w:rsid w:val="00401AC2"/>
    <w:rsid w:val="00406C50"/>
    <w:rsid w:val="00410832"/>
    <w:rsid w:val="00411FEB"/>
    <w:rsid w:val="00413375"/>
    <w:rsid w:val="004133BC"/>
    <w:rsid w:val="00414C51"/>
    <w:rsid w:val="00414E54"/>
    <w:rsid w:val="0041687C"/>
    <w:rsid w:val="00417DEB"/>
    <w:rsid w:val="00417FE5"/>
    <w:rsid w:val="00420538"/>
    <w:rsid w:val="00421BD5"/>
    <w:rsid w:val="00422583"/>
    <w:rsid w:val="004227C3"/>
    <w:rsid w:val="00422BBD"/>
    <w:rsid w:val="00430241"/>
    <w:rsid w:val="00432D9C"/>
    <w:rsid w:val="004331FA"/>
    <w:rsid w:val="004341C4"/>
    <w:rsid w:val="00434950"/>
    <w:rsid w:val="004357F5"/>
    <w:rsid w:val="004375F1"/>
    <w:rsid w:val="0044057B"/>
    <w:rsid w:val="00442287"/>
    <w:rsid w:val="00443543"/>
    <w:rsid w:val="0044358C"/>
    <w:rsid w:val="00443817"/>
    <w:rsid w:val="00443AF0"/>
    <w:rsid w:val="00443D78"/>
    <w:rsid w:val="00453712"/>
    <w:rsid w:val="00453D91"/>
    <w:rsid w:val="00455CE5"/>
    <w:rsid w:val="004564E9"/>
    <w:rsid w:val="0045757E"/>
    <w:rsid w:val="0046078D"/>
    <w:rsid w:val="00460A75"/>
    <w:rsid w:val="00461304"/>
    <w:rsid w:val="00462BB7"/>
    <w:rsid w:val="00463474"/>
    <w:rsid w:val="00463947"/>
    <w:rsid w:val="00464A34"/>
    <w:rsid w:val="00465F1F"/>
    <w:rsid w:val="00466749"/>
    <w:rsid w:val="00471220"/>
    <w:rsid w:val="004724DC"/>
    <w:rsid w:val="00472689"/>
    <w:rsid w:val="0047361A"/>
    <w:rsid w:val="00473AAB"/>
    <w:rsid w:val="004748EA"/>
    <w:rsid w:val="004750E8"/>
    <w:rsid w:val="00476934"/>
    <w:rsid w:val="004779CF"/>
    <w:rsid w:val="004809FE"/>
    <w:rsid w:val="00480BDE"/>
    <w:rsid w:val="00481191"/>
    <w:rsid w:val="004818DE"/>
    <w:rsid w:val="00481976"/>
    <w:rsid w:val="00481CDB"/>
    <w:rsid w:val="004828EC"/>
    <w:rsid w:val="00482AA7"/>
    <w:rsid w:val="00483880"/>
    <w:rsid w:val="00484215"/>
    <w:rsid w:val="00486397"/>
    <w:rsid w:val="00486406"/>
    <w:rsid w:val="00486B59"/>
    <w:rsid w:val="004875D1"/>
    <w:rsid w:val="00487B73"/>
    <w:rsid w:val="00490CAD"/>
    <w:rsid w:val="00492B2C"/>
    <w:rsid w:val="00495804"/>
    <w:rsid w:val="00495E84"/>
    <w:rsid w:val="00496425"/>
    <w:rsid w:val="00496499"/>
    <w:rsid w:val="0049673A"/>
    <w:rsid w:val="00496E42"/>
    <w:rsid w:val="004A0028"/>
    <w:rsid w:val="004A00D6"/>
    <w:rsid w:val="004A0C21"/>
    <w:rsid w:val="004A2808"/>
    <w:rsid w:val="004A38E3"/>
    <w:rsid w:val="004A3D56"/>
    <w:rsid w:val="004A43EF"/>
    <w:rsid w:val="004A515F"/>
    <w:rsid w:val="004A5E8C"/>
    <w:rsid w:val="004A61D4"/>
    <w:rsid w:val="004A6A16"/>
    <w:rsid w:val="004A7929"/>
    <w:rsid w:val="004B004F"/>
    <w:rsid w:val="004B0A9E"/>
    <w:rsid w:val="004B143E"/>
    <w:rsid w:val="004B14DA"/>
    <w:rsid w:val="004B1990"/>
    <w:rsid w:val="004B1E19"/>
    <w:rsid w:val="004B1E22"/>
    <w:rsid w:val="004B28CF"/>
    <w:rsid w:val="004B2C4D"/>
    <w:rsid w:val="004B43CE"/>
    <w:rsid w:val="004B4A84"/>
    <w:rsid w:val="004B640B"/>
    <w:rsid w:val="004B6461"/>
    <w:rsid w:val="004B6602"/>
    <w:rsid w:val="004C1319"/>
    <w:rsid w:val="004C3F51"/>
    <w:rsid w:val="004C51EF"/>
    <w:rsid w:val="004C5891"/>
    <w:rsid w:val="004C5C73"/>
    <w:rsid w:val="004C7543"/>
    <w:rsid w:val="004C7DA5"/>
    <w:rsid w:val="004D0C61"/>
    <w:rsid w:val="004D2118"/>
    <w:rsid w:val="004D23E0"/>
    <w:rsid w:val="004D29AF"/>
    <w:rsid w:val="004D3505"/>
    <w:rsid w:val="004D49F0"/>
    <w:rsid w:val="004D576E"/>
    <w:rsid w:val="004D61A2"/>
    <w:rsid w:val="004D744C"/>
    <w:rsid w:val="004E078E"/>
    <w:rsid w:val="004E0F85"/>
    <w:rsid w:val="004E187E"/>
    <w:rsid w:val="004E499C"/>
    <w:rsid w:val="004E69BB"/>
    <w:rsid w:val="004E6AA3"/>
    <w:rsid w:val="004F0FBA"/>
    <w:rsid w:val="004F18DB"/>
    <w:rsid w:val="004F2204"/>
    <w:rsid w:val="004F31DB"/>
    <w:rsid w:val="004F3CDF"/>
    <w:rsid w:val="004F5016"/>
    <w:rsid w:val="004F62C4"/>
    <w:rsid w:val="004F6B38"/>
    <w:rsid w:val="004F6B49"/>
    <w:rsid w:val="00501F7B"/>
    <w:rsid w:val="00502338"/>
    <w:rsid w:val="0050311C"/>
    <w:rsid w:val="00504E7F"/>
    <w:rsid w:val="00505134"/>
    <w:rsid w:val="005055F0"/>
    <w:rsid w:val="005062B0"/>
    <w:rsid w:val="00506C17"/>
    <w:rsid w:val="00506F87"/>
    <w:rsid w:val="0050727C"/>
    <w:rsid w:val="00507723"/>
    <w:rsid w:val="00510410"/>
    <w:rsid w:val="00510656"/>
    <w:rsid w:val="00511192"/>
    <w:rsid w:val="00512700"/>
    <w:rsid w:val="005129D0"/>
    <w:rsid w:val="00512EBC"/>
    <w:rsid w:val="00513A02"/>
    <w:rsid w:val="00513FB2"/>
    <w:rsid w:val="00521E2C"/>
    <w:rsid w:val="00521E7F"/>
    <w:rsid w:val="005258F4"/>
    <w:rsid w:val="00526CB9"/>
    <w:rsid w:val="00532A5E"/>
    <w:rsid w:val="00534FD9"/>
    <w:rsid w:val="00535051"/>
    <w:rsid w:val="00535170"/>
    <w:rsid w:val="005352F2"/>
    <w:rsid w:val="0053614C"/>
    <w:rsid w:val="00536585"/>
    <w:rsid w:val="00536FD0"/>
    <w:rsid w:val="00540B1D"/>
    <w:rsid w:val="00540C59"/>
    <w:rsid w:val="00541616"/>
    <w:rsid w:val="0054288D"/>
    <w:rsid w:val="00544D92"/>
    <w:rsid w:val="00545445"/>
    <w:rsid w:val="0054550A"/>
    <w:rsid w:val="00545853"/>
    <w:rsid w:val="00546FD3"/>
    <w:rsid w:val="00552060"/>
    <w:rsid w:val="005528C1"/>
    <w:rsid w:val="0055532E"/>
    <w:rsid w:val="0055673D"/>
    <w:rsid w:val="00557AAF"/>
    <w:rsid w:val="00562311"/>
    <w:rsid w:val="00562CA9"/>
    <w:rsid w:val="00562D0F"/>
    <w:rsid w:val="00562ED9"/>
    <w:rsid w:val="00563CC6"/>
    <w:rsid w:val="00564B4E"/>
    <w:rsid w:val="00565025"/>
    <w:rsid w:val="00566012"/>
    <w:rsid w:val="00566FFA"/>
    <w:rsid w:val="005732E4"/>
    <w:rsid w:val="00573437"/>
    <w:rsid w:val="00576CB6"/>
    <w:rsid w:val="005779E9"/>
    <w:rsid w:val="005827C9"/>
    <w:rsid w:val="0058303C"/>
    <w:rsid w:val="005854EB"/>
    <w:rsid w:val="005862A9"/>
    <w:rsid w:val="00590694"/>
    <w:rsid w:val="005907E6"/>
    <w:rsid w:val="00590F73"/>
    <w:rsid w:val="00591A4A"/>
    <w:rsid w:val="00593F7B"/>
    <w:rsid w:val="00594212"/>
    <w:rsid w:val="00595F63"/>
    <w:rsid w:val="00596D3C"/>
    <w:rsid w:val="005A1A88"/>
    <w:rsid w:val="005A208A"/>
    <w:rsid w:val="005A2B6B"/>
    <w:rsid w:val="005A34E9"/>
    <w:rsid w:val="005A3619"/>
    <w:rsid w:val="005A36DE"/>
    <w:rsid w:val="005A37F9"/>
    <w:rsid w:val="005A485E"/>
    <w:rsid w:val="005A6469"/>
    <w:rsid w:val="005A7DC4"/>
    <w:rsid w:val="005B493A"/>
    <w:rsid w:val="005B5D09"/>
    <w:rsid w:val="005B72B8"/>
    <w:rsid w:val="005B7463"/>
    <w:rsid w:val="005B7B82"/>
    <w:rsid w:val="005C2111"/>
    <w:rsid w:val="005C512C"/>
    <w:rsid w:val="005C593C"/>
    <w:rsid w:val="005C6A71"/>
    <w:rsid w:val="005D134F"/>
    <w:rsid w:val="005D1478"/>
    <w:rsid w:val="005D50EC"/>
    <w:rsid w:val="005D59A7"/>
    <w:rsid w:val="005D5C9A"/>
    <w:rsid w:val="005D613C"/>
    <w:rsid w:val="005E0172"/>
    <w:rsid w:val="005E1532"/>
    <w:rsid w:val="005E1D5E"/>
    <w:rsid w:val="005E2903"/>
    <w:rsid w:val="005E2AE2"/>
    <w:rsid w:val="005E342D"/>
    <w:rsid w:val="005E3D13"/>
    <w:rsid w:val="005E4B74"/>
    <w:rsid w:val="005E511B"/>
    <w:rsid w:val="005E5128"/>
    <w:rsid w:val="005E5B0A"/>
    <w:rsid w:val="005E637A"/>
    <w:rsid w:val="005E7207"/>
    <w:rsid w:val="005E7883"/>
    <w:rsid w:val="005E79B9"/>
    <w:rsid w:val="005F03DE"/>
    <w:rsid w:val="005F1B57"/>
    <w:rsid w:val="005F32B9"/>
    <w:rsid w:val="005F3536"/>
    <w:rsid w:val="0060057E"/>
    <w:rsid w:val="00600D0D"/>
    <w:rsid w:val="00600D37"/>
    <w:rsid w:val="006021BB"/>
    <w:rsid w:val="00602272"/>
    <w:rsid w:val="00602572"/>
    <w:rsid w:val="006034CA"/>
    <w:rsid w:val="006037BE"/>
    <w:rsid w:val="00603844"/>
    <w:rsid w:val="006038F0"/>
    <w:rsid w:val="00603DB8"/>
    <w:rsid w:val="00605385"/>
    <w:rsid w:val="00605DFC"/>
    <w:rsid w:val="006060EC"/>
    <w:rsid w:val="006063E7"/>
    <w:rsid w:val="00606658"/>
    <w:rsid w:val="00606F6E"/>
    <w:rsid w:val="0061194D"/>
    <w:rsid w:val="00613004"/>
    <w:rsid w:val="00613AB5"/>
    <w:rsid w:val="006144E5"/>
    <w:rsid w:val="00615DF8"/>
    <w:rsid w:val="00616005"/>
    <w:rsid w:val="00616868"/>
    <w:rsid w:val="00621359"/>
    <w:rsid w:val="00622085"/>
    <w:rsid w:val="006225DF"/>
    <w:rsid w:val="00623AFD"/>
    <w:rsid w:val="00624395"/>
    <w:rsid w:val="00624726"/>
    <w:rsid w:val="00627018"/>
    <w:rsid w:val="00627F99"/>
    <w:rsid w:val="006329E8"/>
    <w:rsid w:val="006365F9"/>
    <w:rsid w:val="00636D08"/>
    <w:rsid w:val="00636E60"/>
    <w:rsid w:val="00640264"/>
    <w:rsid w:val="00641383"/>
    <w:rsid w:val="00641AD5"/>
    <w:rsid w:val="006433DA"/>
    <w:rsid w:val="00643A39"/>
    <w:rsid w:val="006448F1"/>
    <w:rsid w:val="00646634"/>
    <w:rsid w:val="00650051"/>
    <w:rsid w:val="00651CEA"/>
    <w:rsid w:val="00655EDB"/>
    <w:rsid w:val="0065657B"/>
    <w:rsid w:val="00656EF3"/>
    <w:rsid w:val="00661325"/>
    <w:rsid w:val="0066141C"/>
    <w:rsid w:val="00661458"/>
    <w:rsid w:val="0066211A"/>
    <w:rsid w:val="00663E56"/>
    <w:rsid w:val="00664006"/>
    <w:rsid w:val="0066411C"/>
    <w:rsid w:val="00664FB3"/>
    <w:rsid w:val="00665A75"/>
    <w:rsid w:val="00665B01"/>
    <w:rsid w:val="00665C66"/>
    <w:rsid w:val="00665CDA"/>
    <w:rsid w:val="00666800"/>
    <w:rsid w:val="0066789D"/>
    <w:rsid w:val="00674440"/>
    <w:rsid w:val="00674EBD"/>
    <w:rsid w:val="00675103"/>
    <w:rsid w:val="0067577E"/>
    <w:rsid w:val="00676936"/>
    <w:rsid w:val="006808E5"/>
    <w:rsid w:val="006815B9"/>
    <w:rsid w:val="0068363A"/>
    <w:rsid w:val="00684750"/>
    <w:rsid w:val="00685574"/>
    <w:rsid w:val="00685B55"/>
    <w:rsid w:val="00686019"/>
    <w:rsid w:val="00686B06"/>
    <w:rsid w:val="00686DC4"/>
    <w:rsid w:val="00687ACE"/>
    <w:rsid w:val="00690A13"/>
    <w:rsid w:val="0069173F"/>
    <w:rsid w:val="006929C4"/>
    <w:rsid w:val="00692FBD"/>
    <w:rsid w:val="0069336B"/>
    <w:rsid w:val="006933E0"/>
    <w:rsid w:val="0069475C"/>
    <w:rsid w:val="00695180"/>
    <w:rsid w:val="006960A0"/>
    <w:rsid w:val="00696824"/>
    <w:rsid w:val="00697BE9"/>
    <w:rsid w:val="006A04BB"/>
    <w:rsid w:val="006A0938"/>
    <w:rsid w:val="006A09EA"/>
    <w:rsid w:val="006A0FB2"/>
    <w:rsid w:val="006A1EF0"/>
    <w:rsid w:val="006A2676"/>
    <w:rsid w:val="006A2CC1"/>
    <w:rsid w:val="006A41E3"/>
    <w:rsid w:val="006A527B"/>
    <w:rsid w:val="006A6100"/>
    <w:rsid w:val="006A69AA"/>
    <w:rsid w:val="006A7483"/>
    <w:rsid w:val="006A79CF"/>
    <w:rsid w:val="006A7F27"/>
    <w:rsid w:val="006B1FC7"/>
    <w:rsid w:val="006B40A2"/>
    <w:rsid w:val="006B42FD"/>
    <w:rsid w:val="006B5DE4"/>
    <w:rsid w:val="006B65C3"/>
    <w:rsid w:val="006B6ED5"/>
    <w:rsid w:val="006B7468"/>
    <w:rsid w:val="006B765C"/>
    <w:rsid w:val="006C095A"/>
    <w:rsid w:val="006C3986"/>
    <w:rsid w:val="006C46F0"/>
    <w:rsid w:val="006C4DB6"/>
    <w:rsid w:val="006C5113"/>
    <w:rsid w:val="006C58DA"/>
    <w:rsid w:val="006C6E2F"/>
    <w:rsid w:val="006D0684"/>
    <w:rsid w:val="006D06C6"/>
    <w:rsid w:val="006D07F9"/>
    <w:rsid w:val="006D22DC"/>
    <w:rsid w:val="006D231D"/>
    <w:rsid w:val="006D4308"/>
    <w:rsid w:val="006D4902"/>
    <w:rsid w:val="006D4A62"/>
    <w:rsid w:val="006D4B36"/>
    <w:rsid w:val="006D574B"/>
    <w:rsid w:val="006D730F"/>
    <w:rsid w:val="006E0DB4"/>
    <w:rsid w:val="006E1495"/>
    <w:rsid w:val="006E1AAF"/>
    <w:rsid w:val="006E1FC1"/>
    <w:rsid w:val="006E2DC2"/>
    <w:rsid w:val="006E32E0"/>
    <w:rsid w:val="006E34B1"/>
    <w:rsid w:val="006E5BBC"/>
    <w:rsid w:val="006E6700"/>
    <w:rsid w:val="006E704D"/>
    <w:rsid w:val="006E788A"/>
    <w:rsid w:val="006F0092"/>
    <w:rsid w:val="006F1EF4"/>
    <w:rsid w:val="006F645E"/>
    <w:rsid w:val="00701B6F"/>
    <w:rsid w:val="00701E80"/>
    <w:rsid w:val="0070293A"/>
    <w:rsid w:val="00702FCB"/>
    <w:rsid w:val="00703A58"/>
    <w:rsid w:val="00703B31"/>
    <w:rsid w:val="0070405D"/>
    <w:rsid w:val="007042FC"/>
    <w:rsid w:val="00704580"/>
    <w:rsid w:val="00705322"/>
    <w:rsid w:val="00706029"/>
    <w:rsid w:val="00713D6E"/>
    <w:rsid w:val="00714521"/>
    <w:rsid w:val="00715305"/>
    <w:rsid w:val="007154C6"/>
    <w:rsid w:val="0071553E"/>
    <w:rsid w:val="00716515"/>
    <w:rsid w:val="0071664A"/>
    <w:rsid w:val="00716973"/>
    <w:rsid w:val="00717F4F"/>
    <w:rsid w:val="00721F93"/>
    <w:rsid w:val="007229A8"/>
    <w:rsid w:val="007238C1"/>
    <w:rsid w:val="00723E38"/>
    <w:rsid w:val="00726CAC"/>
    <w:rsid w:val="00726F09"/>
    <w:rsid w:val="00727972"/>
    <w:rsid w:val="007319F9"/>
    <w:rsid w:val="007326AC"/>
    <w:rsid w:val="00733000"/>
    <w:rsid w:val="007330DB"/>
    <w:rsid w:val="007344F4"/>
    <w:rsid w:val="00734A78"/>
    <w:rsid w:val="00734CCC"/>
    <w:rsid w:val="0073558B"/>
    <w:rsid w:val="007361EC"/>
    <w:rsid w:val="007368DF"/>
    <w:rsid w:val="00736F89"/>
    <w:rsid w:val="007373E8"/>
    <w:rsid w:val="00737571"/>
    <w:rsid w:val="00737E33"/>
    <w:rsid w:val="00740F43"/>
    <w:rsid w:val="00740FF1"/>
    <w:rsid w:val="007419E7"/>
    <w:rsid w:val="0074232E"/>
    <w:rsid w:val="00742B9A"/>
    <w:rsid w:val="00743913"/>
    <w:rsid w:val="00743F69"/>
    <w:rsid w:val="00744AB2"/>
    <w:rsid w:val="007455D3"/>
    <w:rsid w:val="00745FBD"/>
    <w:rsid w:val="00747B0C"/>
    <w:rsid w:val="007554D1"/>
    <w:rsid w:val="007566A6"/>
    <w:rsid w:val="00756931"/>
    <w:rsid w:val="00756B48"/>
    <w:rsid w:val="00762C4F"/>
    <w:rsid w:val="00770852"/>
    <w:rsid w:val="0077112C"/>
    <w:rsid w:val="007723E3"/>
    <w:rsid w:val="007725C9"/>
    <w:rsid w:val="007741D5"/>
    <w:rsid w:val="0077567E"/>
    <w:rsid w:val="00775ADD"/>
    <w:rsid w:val="00776535"/>
    <w:rsid w:val="00776CF9"/>
    <w:rsid w:val="00780F93"/>
    <w:rsid w:val="00782E71"/>
    <w:rsid w:val="00783C15"/>
    <w:rsid w:val="007854D6"/>
    <w:rsid w:val="00786154"/>
    <w:rsid w:val="00786E12"/>
    <w:rsid w:val="00787E76"/>
    <w:rsid w:val="007916DD"/>
    <w:rsid w:val="0079175E"/>
    <w:rsid w:val="00791775"/>
    <w:rsid w:val="00791C52"/>
    <w:rsid w:val="00793968"/>
    <w:rsid w:val="0079396C"/>
    <w:rsid w:val="0079443F"/>
    <w:rsid w:val="007946DC"/>
    <w:rsid w:val="007952C3"/>
    <w:rsid w:val="00796037"/>
    <w:rsid w:val="0079665B"/>
    <w:rsid w:val="007967F8"/>
    <w:rsid w:val="00797137"/>
    <w:rsid w:val="00797604"/>
    <w:rsid w:val="00797871"/>
    <w:rsid w:val="00797FE3"/>
    <w:rsid w:val="007A021C"/>
    <w:rsid w:val="007A2702"/>
    <w:rsid w:val="007A3146"/>
    <w:rsid w:val="007A43FD"/>
    <w:rsid w:val="007A7AF1"/>
    <w:rsid w:val="007B169B"/>
    <w:rsid w:val="007B1E0A"/>
    <w:rsid w:val="007B217C"/>
    <w:rsid w:val="007B26FF"/>
    <w:rsid w:val="007B6812"/>
    <w:rsid w:val="007C05BE"/>
    <w:rsid w:val="007C0DE2"/>
    <w:rsid w:val="007C3A29"/>
    <w:rsid w:val="007C3E55"/>
    <w:rsid w:val="007C590A"/>
    <w:rsid w:val="007C64C5"/>
    <w:rsid w:val="007C67E7"/>
    <w:rsid w:val="007C6883"/>
    <w:rsid w:val="007D247B"/>
    <w:rsid w:val="007D2A03"/>
    <w:rsid w:val="007D3F0B"/>
    <w:rsid w:val="007D4FE9"/>
    <w:rsid w:val="007D5AAE"/>
    <w:rsid w:val="007D797D"/>
    <w:rsid w:val="007E1055"/>
    <w:rsid w:val="007E2766"/>
    <w:rsid w:val="007E6DC3"/>
    <w:rsid w:val="007E7334"/>
    <w:rsid w:val="007F03B5"/>
    <w:rsid w:val="007F0F25"/>
    <w:rsid w:val="007F13C4"/>
    <w:rsid w:val="007F2C52"/>
    <w:rsid w:val="007F35A0"/>
    <w:rsid w:val="007F412B"/>
    <w:rsid w:val="007F48F3"/>
    <w:rsid w:val="007F5147"/>
    <w:rsid w:val="007F5160"/>
    <w:rsid w:val="007F6B18"/>
    <w:rsid w:val="007F795A"/>
    <w:rsid w:val="008005EC"/>
    <w:rsid w:val="00801DB6"/>
    <w:rsid w:val="00801FA6"/>
    <w:rsid w:val="0080204F"/>
    <w:rsid w:val="0080258F"/>
    <w:rsid w:val="00802A52"/>
    <w:rsid w:val="0080549E"/>
    <w:rsid w:val="0080628D"/>
    <w:rsid w:val="008067ED"/>
    <w:rsid w:val="0081043E"/>
    <w:rsid w:val="00810643"/>
    <w:rsid w:val="0081090C"/>
    <w:rsid w:val="00815EC4"/>
    <w:rsid w:val="00816BFD"/>
    <w:rsid w:val="00816E7D"/>
    <w:rsid w:val="00816F57"/>
    <w:rsid w:val="00817ED6"/>
    <w:rsid w:val="00817FAD"/>
    <w:rsid w:val="008201C1"/>
    <w:rsid w:val="00821E79"/>
    <w:rsid w:val="00822E6B"/>
    <w:rsid w:val="00823C75"/>
    <w:rsid w:val="0082412F"/>
    <w:rsid w:val="008251AC"/>
    <w:rsid w:val="0082796F"/>
    <w:rsid w:val="00830FC5"/>
    <w:rsid w:val="00831E03"/>
    <w:rsid w:val="00836AB7"/>
    <w:rsid w:val="0084115F"/>
    <w:rsid w:val="00841660"/>
    <w:rsid w:val="00841EE5"/>
    <w:rsid w:val="00843CAE"/>
    <w:rsid w:val="0084442D"/>
    <w:rsid w:val="00845FE7"/>
    <w:rsid w:val="008501D2"/>
    <w:rsid w:val="00851415"/>
    <w:rsid w:val="008531C2"/>
    <w:rsid w:val="00853E16"/>
    <w:rsid w:val="008548B6"/>
    <w:rsid w:val="008557DF"/>
    <w:rsid w:val="00855B76"/>
    <w:rsid w:val="0085645D"/>
    <w:rsid w:val="00861983"/>
    <w:rsid w:val="00861FE5"/>
    <w:rsid w:val="00862E30"/>
    <w:rsid w:val="00864160"/>
    <w:rsid w:val="00864524"/>
    <w:rsid w:val="00864AD6"/>
    <w:rsid w:val="008708E9"/>
    <w:rsid w:val="00870D17"/>
    <w:rsid w:val="008716E5"/>
    <w:rsid w:val="00873036"/>
    <w:rsid w:val="00875104"/>
    <w:rsid w:val="0087677C"/>
    <w:rsid w:val="0088020C"/>
    <w:rsid w:val="00883971"/>
    <w:rsid w:val="00886834"/>
    <w:rsid w:val="00886E11"/>
    <w:rsid w:val="00886F2E"/>
    <w:rsid w:val="00887100"/>
    <w:rsid w:val="00887F12"/>
    <w:rsid w:val="00887F8A"/>
    <w:rsid w:val="00890140"/>
    <w:rsid w:val="008904CF"/>
    <w:rsid w:val="00890D39"/>
    <w:rsid w:val="00891660"/>
    <w:rsid w:val="008917F2"/>
    <w:rsid w:val="00891D88"/>
    <w:rsid w:val="00891E99"/>
    <w:rsid w:val="008920EC"/>
    <w:rsid w:val="00893BD4"/>
    <w:rsid w:val="00895A97"/>
    <w:rsid w:val="008968A4"/>
    <w:rsid w:val="008A069F"/>
    <w:rsid w:val="008A17BF"/>
    <w:rsid w:val="008A20B6"/>
    <w:rsid w:val="008A4B78"/>
    <w:rsid w:val="008A56F4"/>
    <w:rsid w:val="008A58DD"/>
    <w:rsid w:val="008A5B9B"/>
    <w:rsid w:val="008A732E"/>
    <w:rsid w:val="008A7981"/>
    <w:rsid w:val="008A7E09"/>
    <w:rsid w:val="008B0498"/>
    <w:rsid w:val="008B1B54"/>
    <w:rsid w:val="008B3616"/>
    <w:rsid w:val="008B3C86"/>
    <w:rsid w:val="008B3D03"/>
    <w:rsid w:val="008B47A3"/>
    <w:rsid w:val="008B574B"/>
    <w:rsid w:val="008C5AD8"/>
    <w:rsid w:val="008C6014"/>
    <w:rsid w:val="008C65B5"/>
    <w:rsid w:val="008C6A88"/>
    <w:rsid w:val="008C7D9D"/>
    <w:rsid w:val="008D07E3"/>
    <w:rsid w:val="008D2985"/>
    <w:rsid w:val="008D3360"/>
    <w:rsid w:val="008D3743"/>
    <w:rsid w:val="008D3E16"/>
    <w:rsid w:val="008D4B06"/>
    <w:rsid w:val="008D62BB"/>
    <w:rsid w:val="008D6ACD"/>
    <w:rsid w:val="008D6D0E"/>
    <w:rsid w:val="008E47F3"/>
    <w:rsid w:val="008E4841"/>
    <w:rsid w:val="008E4AFA"/>
    <w:rsid w:val="008E6543"/>
    <w:rsid w:val="008E6A7B"/>
    <w:rsid w:val="008E7148"/>
    <w:rsid w:val="008E71A8"/>
    <w:rsid w:val="008F2B20"/>
    <w:rsid w:val="008F3A90"/>
    <w:rsid w:val="008F3DEF"/>
    <w:rsid w:val="008F4231"/>
    <w:rsid w:val="008F42E2"/>
    <w:rsid w:val="008F55BE"/>
    <w:rsid w:val="008F6FC8"/>
    <w:rsid w:val="008F7000"/>
    <w:rsid w:val="00904673"/>
    <w:rsid w:val="009050ED"/>
    <w:rsid w:val="0091048C"/>
    <w:rsid w:val="00910F73"/>
    <w:rsid w:val="0091179F"/>
    <w:rsid w:val="009127A9"/>
    <w:rsid w:val="009138FE"/>
    <w:rsid w:val="00913E1D"/>
    <w:rsid w:val="00914D01"/>
    <w:rsid w:val="00915263"/>
    <w:rsid w:val="009158C4"/>
    <w:rsid w:val="00916DCF"/>
    <w:rsid w:val="00916F91"/>
    <w:rsid w:val="00921538"/>
    <w:rsid w:val="0092175E"/>
    <w:rsid w:val="0092506C"/>
    <w:rsid w:val="0092507C"/>
    <w:rsid w:val="00925E23"/>
    <w:rsid w:val="009267AD"/>
    <w:rsid w:val="009277DD"/>
    <w:rsid w:val="009301E2"/>
    <w:rsid w:val="00930CF2"/>
    <w:rsid w:val="00930D9E"/>
    <w:rsid w:val="00930DA6"/>
    <w:rsid w:val="00931914"/>
    <w:rsid w:val="00931AD3"/>
    <w:rsid w:val="00933A2B"/>
    <w:rsid w:val="00933DB4"/>
    <w:rsid w:val="0093414A"/>
    <w:rsid w:val="009343E4"/>
    <w:rsid w:val="0093456F"/>
    <w:rsid w:val="009356D0"/>
    <w:rsid w:val="00936539"/>
    <w:rsid w:val="00937059"/>
    <w:rsid w:val="00937A92"/>
    <w:rsid w:val="00940278"/>
    <w:rsid w:val="00941119"/>
    <w:rsid w:val="00941C0F"/>
    <w:rsid w:val="00943690"/>
    <w:rsid w:val="00943CAA"/>
    <w:rsid w:val="00944491"/>
    <w:rsid w:val="009459E4"/>
    <w:rsid w:val="00946BB2"/>
    <w:rsid w:val="00946EAA"/>
    <w:rsid w:val="00950382"/>
    <w:rsid w:val="009506AF"/>
    <w:rsid w:val="00950942"/>
    <w:rsid w:val="00951507"/>
    <w:rsid w:val="009527C7"/>
    <w:rsid w:val="00954287"/>
    <w:rsid w:val="0095531B"/>
    <w:rsid w:val="009557D0"/>
    <w:rsid w:val="009561C7"/>
    <w:rsid w:val="00957FBD"/>
    <w:rsid w:val="009602E3"/>
    <w:rsid w:val="00960B6B"/>
    <w:rsid w:val="00961DD7"/>
    <w:rsid w:val="00962E94"/>
    <w:rsid w:val="0096323E"/>
    <w:rsid w:val="00963658"/>
    <w:rsid w:val="009651F5"/>
    <w:rsid w:val="00967757"/>
    <w:rsid w:val="00967D98"/>
    <w:rsid w:val="00970AF2"/>
    <w:rsid w:val="009724DB"/>
    <w:rsid w:val="00973F6A"/>
    <w:rsid w:val="00973F86"/>
    <w:rsid w:val="00974F5B"/>
    <w:rsid w:val="00975CFF"/>
    <w:rsid w:val="0097619C"/>
    <w:rsid w:val="00977B63"/>
    <w:rsid w:val="0098097C"/>
    <w:rsid w:val="00981742"/>
    <w:rsid w:val="0098177B"/>
    <w:rsid w:val="00981C01"/>
    <w:rsid w:val="009840C9"/>
    <w:rsid w:val="00984B14"/>
    <w:rsid w:val="0098520A"/>
    <w:rsid w:val="00986788"/>
    <w:rsid w:val="00986E5E"/>
    <w:rsid w:val="00991849"/>
    <w:rsid w:val="0099292E"/>
    <w:rsid w:val="00993275"/>
    <w:rsid w:val="0099566F"/>
    <w:rsid w:val="009958D9"/>
    <w:rsid w:val="009962F7"/>
    <w:rsid w:val="00996339"/>
    <w:rsid w:val="009965D6"/>
    <w:rsid w:val="0099712C"/>
    <w:rsid w:val="009972A8"/>
    <w:rsid w:val="009A0AF6"/>
    <w:rsid w:val="009A2139"/>
    <w:rsid w:val="009A31BB"/>
    <w:rsid w:val="009A37AF"/>
    <w:rsid w:val="009A44EB"/>
    <w:rsid w:val="009A4D8E"/>
    <w:rsid w:val="009A79D8"/>
    <w:rsid w:val="009B053E"/>
    <w:rsid w:val="009B50C0"/>
    <w:rsid w:val="009B57B8"/>
    <w:rsid w:val="009B5AC9"/>
    <w:rsid w:val="009B5D8A"/>
    <w:rsid w:val="009B7D19"/>
    <w:rsid w:val="009B7D1E"/>
    <w:rsid w:val="009C076E"/>
    <w:rsid w:val="009C189B"/>
    <w:rsid w:val="009C439E"/>
    <w:rsid w:val="009C5C22"/>
    <w:rsid w:val="009D2B97"/>
    <w:rsid w:val="009D629E"/>
    <w:rsid w:val="009D6871"/>
    <w:rsid w:val="009E1FDB"/>
    <w:rsid w:val="009E26DD"/>
    <w:rsid w:val="009E2E5D"/>
    <w:rsid w:val="009E4259"/>
    <w:rsid w:val="009E4859"/>
    <w:rsid w:val="009E497E"/>
    <w:rsid w:val="009E4B75"/>
    <w:rsid w:val="009E5A0D"/>
    <w:rsid w:val="009E6ACF"/>
    <w:rsid w:val="009E6D58"/>
    <w:rsid w:val="009E6DE0"/>
    <w:rsid w:val="009F2781"/>
    <w:rsid w:val="009F2C8C"/>
    <w:rsid w:val="009F3F4B"/>
    <w:rsid w:val="009F4E0F"/>
    <w:rsid w:val="009F5C94"/>
    <w:rsid w:val="009F6DA0"/>
    <w:rsid w:val="00A0023A"/>
    <w:rsid w:val="00A02024"/>
    <w:rsid w:val="00A03B9C"/>
    <w:rsid w:val="00A03EF3"/>
    <w:rsid w:val="00A04280"/>
    <w:rsid w:val="00A0431B"/>
    <w:rsid w:val="00A05A52"/>
    <w:rsid w:val="00A10BDC"/>
    <w:rsid w:val="00A11EFC"/>
    <w:rsid w:val="00A1381E"/>
    <w:rsid w:val="00A13A2A"/>
    <w:rsid w:val="00A15E85"/>
    <w:rsid w:val="00A16538"/>
    <w:rsid w:val="00A22B82"/>
    <w:rsid w:val="00A22E71"/>
    <w:rsid w:val="00A233BA"/>
    <w:rsid w:val="00A23D3E"/>
    <w:rsid w:val="00A25020"/>
    <w:rsid w:val="00A250BB"/>
    <w:rsid w:val="00A25DFB"/>
    <w:rsid w:val="00A26A3C"/>
    <w:rsid w:val="00A26D17"/>
    <w:rsid w:val="00A26E85"/>
    <w:rsid w:val="00A27916"/>
    <w:rsid w:val="00A30093"/>
    <w:rsid w:val="00A33698"/>
    <w:rsid w:val="00A346F5"/>
    <w:rsid w:val="00A34A07"/>
    <w:rsid w:val="00A355E5"/>
    <w:rsid w:val="00A36695"/>
    <w:rsid w:val="00A42588"/>
    <w:rsid w:val="00A547BD"/>
    <w:rsid w:val="00A5501D"/>
    <w:rsid w:val="00A55CB8"/>
    <w:rsid w:val="00A56DE2"/>
    <w:rsid w:val="00A57153"/>
    <w:rsid w:val="00A61286"/>
    <w:rsid w:val="00A6152A"/>
    <w:rsid w:val="00A619C6"/>
    <w:rsid w:val="00A61ACD"/>
    <w:rsid w:val="00A62FAC"/>
    <w:rsid w:val="00A66E07"/>
    <w:rsid w:val="00A67AFF"/>
    <w:rsid w:val="00A70AE7"/>
    <w:rsid w:val="00A7117F"/>
    <w:rsid w:val="00A71561"/>
    <w:rsid w:val="00A71802"/>
    <w:rsid w:val="00A732CE"/>
    <w:rsid w:val="00A73563"/>
    <w:rsid w:val="00A73BF7"/>
    <w:rsid w:val="00A73EE9"/>
    <w:rsid w:val="00A7440D"/>
    <w:rsid w:val="00A74A72"/>
    <w:rsid w:val="00A75253"/>
    <w:rsid w:val="00A75A97"/>
    <w:rsid w:val="00A76364"/>
    <w:rsid w:val="00A767FC"/>
    <w:rsid w:val="00A76AAE"/>
    <w:rsid w:val="00A80EE7"/>
    <w:rsid w:val="00A815B5"/>
    <w:rsid w:val="00A8163E"/>
    <w:rsid w:val="00A82162"/>
    <w:rsid w:val="00A8276D"/>
    <w:rsid w:val="00A8353D"/>
    <w:rsid w:val="00A83574"/>
    <w:rsid w:val="00A83E7A"/>
    <w:rsid w:val="00A84BCA"/>
    <w:rsid w:val="00A85673"/>
    <w:rsid w:val="00A87DBF"/>
    <w:rsid w:val="00A951FE"/>
    <w:rsid w:val="00A9522F"/>
    <w:rsid w:val="00A95963"/>
    <w:rsid w:val="00A95BAC"/>
    <w:rsid w:val="00A96A71"/>
    <w:rsid w:val="00AA1148"/>
    <w:rsid w:val="00AA1627"/>
    <w:rsid w:val="00AA7B2B"/>
    <w:rsid w:val="00AB0A37"/>
    <w:rsid w:val="00AB13EB"/>
    <w:rsid w:val="00AB1862"/>
    <w:rsid w:val="00AB226D"/>
    <w:rsid w:val="00AB4AA4"/>
    <w:rsid w:val="00AB7555"/>
    <w:rsid w:val="00AC0354"/>
    <w:rsid w:val="00AC0A72"/>
    <w:rsid w:val="00AC0E4B"/>
    <w:rsid w:val="00AC36B3"/>
    <w:rsid w:val="00AC40AE"/>
    <w:rsid w:val="00AC4EDE"/>
    <w:rsid w:val="00AC55D9"/>
    <w:rsid w:val="00AC72E3"/>
    <w:rsid w:val="00AD061A"/>
    <w:rsid w:val="00AD17FD"/>
    <w:rsid w:val="00AD4079"/>
    <w:rsid w:val="00AD45FE"/>
    <w:rsid w:val="00AD67A5"/>
    <w:rsid w:val="00AD7BD2"/>
    <w:rsid w:val="00AE21C0"/>
    <w:rsid w:val="00AE2DA7"/>
    <w:rsid w:val="00AE32BB"/>
    <w:rsid w:val="00AE372B"/>
    <w:rsid w:val="00AE462F"/>
    <w:rsid w:val="00AE483A"/>
    <w:rsid w:val="00AE4DF8"/>
    <w:rsid w:val="00AF1314"/>
    <w:rsid w:val="00AF2555"/>
    <w:rsid w:val="00AF2A95"/>
    <w:rsid w:val="00AF33AD"/>
    <w:rsid w:val="00AF402E"/>
    <w:rsid w:val="00AF484D"/>
    <w:rsid w:val="00AF5364"/>
    <w:rsid w:val="00AF7354"/>
    <w:rsid w:val="00AF76C5"/>
    <w:rsid w:val="00B01DAA"/>
    <w:rsid w:val="00B03B4C"/>
    <w:rsid w:val="00B053CC"/>
    <w:rsid w:val="00B058DB"/>
    <w:rsid w:val="00B0663B"/>
    <w:rsid w:val="00B06ADB"/>
    <w:rsid w:val="00B07224"/>
    <w:rsid w:val="00B07872"/>
    <w:rsid w:val="00B1083E"/>
    <w:rsid w:val="00B12DE8"/>
    <w:rsid w:val="00B134FD"/>
    <w:rsid w:val="00B13680"/>
    <w:rsid w:val="00B13724"/>
    <w:rsid w:val="00B13E02"/>
    <w:rsid w:val="00B15749"/>
    <w:rsid w:val="00B2205B"/>
    <w:rsid w:val="00B22F83"/>
    <w:rsid w:val="00B230BF"/>
    <w:rsid w:val="00B26271"/>
    <w:rsid w:val="00B263FB"/>
    <w:rsid w:val="00B26584"/>
    <w:rsid w:val="00B26E6C"/>
    <w:rsid w:val="00B277D2"/>
    <w:rsid w:val="00B3163F"/>
    <w:rsid w:val="00B33DF1"/>
    <w:rsid w:val="00B34589"/>
    <w:rsid w:val="00B347A6"/>
    <w:rsid w:val="00B3542E"/>
    <w:rsid w:val="00B3557E"/>
    <w:rsid w:val="00B35909"/>
    <w:rsid w:val="00B37111"/>
    <w:rsid w:val="00B37358"/>
    <w:rsid w:val="00B379A0"/>
    <w:rsid w:val="00B41D79"/>
    <w:rsid w:val="00B420A2"/>
    <w:rsid w:val="00B420E5"/>
    <w:rsid w:val="00B451E9"/>
    <w:rsid w:val="00B45BD2"/>
    <w:rsid w:val="00B45DF4"/>
    <w:rsid w:val="00B537BB"/>
    <w:rsid w:val="00B557F4"/>
    <w:rsid w:val="00B579F7"/>
    <w:rsid w:val="00B61903"/>
    <w:rsid w:val="00B63DE5"/>
    <w:rsid w:val="00B650CA"/>
    <w:rsid w:val="00B65A19"/>
    <w:rsid w:val="00B65D20"/>
    <w:rsid w:val="00B666A6"/>
    <w:rsid w:val="00B67934"/>
    <w:rsid w:val="00B71417"/>
    <w:rsid w:val="00B71988"/>
    <w:rsid w:val="00B73C81"/>
    <w:rsid w:val="00B750E6"/>
    <w:rsid w:val="00B755FA"/>
    <w:rsid w:val="00B75689"/>
    <w:rsid w:val="00B81CA0"/>
    <w:rsid w:val="00B82C97"/>
    <w:rsid w:val="00B87C06"/>
    <w:rsid w:val="00B87F74"/>
    <w:rsid w:val="00B90C78"/>
    <w:rsid w:val="00B91AE7"/>
    <w:rsid w:val="00B938E9"/>
    <w:rsid w:val="00B94191"/>
    <w:rsid w:val="00B94EB2"/>
    <w:rsid w:val="00B95666"/>
    <w:rsid w:val="00B966F1"/>
    <w:rsid w:val="00BA09EF"/>
    <w:rsid w:val="00BA0C10"/>
    <w:rsid w:val="00BA0C81"/>
    <w:rsid w:val="00BA1200"/>
    <w:rsid w:val="00BA1358"/>
    <w:rsid w:val="00BA26FF"/>
    <w:rsid w:val="00BA2B95"/>
    <w:rsid w:val="00BA3179"/>
    <w:rsid w:val="00BA3790"/>
    <w:rsid w:val="00BA39BF"/>
    <w:rsid w:val="00BA5121"/>
    <w:rsid w:val="00BA73EA"/>
    <w:rsid w:val="00BA74A0"/>
    <w:rsid w:val="00BB2FA4"/>
    <w:rsid w:val="00BB2FC5"/>
    <w:rsid w:val="00BB3A32"/>
    <w:rsid w:val="00BB3B15"/>
    <w:rsid w:val="00BB57A7"/>
    <w:rsid w:val="00BB69F1"/>
    <w:rsid w:val="00BB6F66"/>
    <w:rsid w:val="00BB7EB1"/>
    <w:rsid w:val="00BC0861"/>
    <w:rsid w:val="00BC5D14"/>
    <w:rsid w:val="00BC794F"/>
    <w:rsid w:val="00BD19BC"/>
    <w:rsid w:val="00BD58E5"/>
    <w:rsid w:val="00BD64E7"/>
    <w:rsid w:val="00BD69F4"/>
    <w:rsid w:val="00BD748E"/>
    <w:rsid w:val="00BE0D29"/>
    <w:rsid w:val="00BE116B"/>
    <w:rsid w:val="00BE3030"/>
    <w:rsid w:val="00BE33AC"/>
    <w:rsid w:val="00BE34C9"/>
    <w:rsid w:val="00BE3ABB"/>
    <w:rsid w:val="00BE3DD6"/>
    <w:rsid w:val="00BE433A"/>
    <w:rsid w:val="00BE4B7B"/>
    <w:rsid w:val="00BE57A5"/>
    <w:rsid w:val="00BE5E73"/>
    <w:rsid w:val="00BF0606"/>
    <w:rsid w:val="00BF1F21"/>
    <w:rsid w:val="00BF4275"/>
    <w:rsid w:val="00BF57DC"/>
    <w:rsid w:val="00BF6CBE"/>
    <w:rsid w:val="00BF6E60"/>
    <w:rsid w:val="00BF78A4"/>
    <w:rsid w:val="00C0006B"/>
    <w:rsid w:val="00C01DEA"/>
    <w:rsid w:val="00C01E0A"/>
    <w:rsid w:val="00C02713"/>
    <w:rsid w:val="00C036D7"/>
    <w:rsid w:val="00C04318"/>
    <w:rsid w:val="00C0486A"/>
    <w:rsid w:val="00C0576F"/>
    <w:rsid w:val="00C05C01"/>
    <w:rsid w:val="00C069D8"/>
    <w:rsid w:val="00C0706A"/>
    <w:rsid w:val="00C07B88"/>
    <w:rsid w:val="00C106BA"/>
    <w:rsid w:val="00C1081B"/>
    <w:rsid w:val="00C1088A"/>
    <w:rsid w:val="00C117C7"/>
    <w:rsid w:val="00C16409"/>
    <w:rsid w:val="00C20BA7"/>
    <w:rsid w:val="00C234CE"/>
    <w:rsid w:val="00C26710"/>
    <w:rsid w:val="00C26D0E"/>
    <w:rsid w:val="00C26DB6"/>
    <w:rsid w:val="00C27729"/>
    <w:rsid w:val="00C27F9A"/>
    <w:rsid w:val="00C32140"/>
    <w:rsid w:val="00C3352D"/>
    <w:rsid w:val="00C34051"/>
    <w:rsid w:val="00C364BE"/>
    <w:rsid w:val="00C404BB"/>
    <w:rsid w:val="00C43C92"/>
    <w:rsid w:val="00C4502A"/>
    <w:rsid w:val="00C46AFB"/>
    <w:rsid w:val="00C46E8E"/>
    <w:rsid w:val="00C50307"/>
    <w:rsid w:val="00C51A89"/>
    <w:rsid w:val="00C53288"/>
    <w:rsid w:val="00C53351"/>
    <w:rsid w:val="00C53920"/>
    <w:rsid w:val="00C53AEA"/>
    <w:rsid w:val="00C54006"/>
    <w:rsid w:val="00C550D6"/>
    <w:rsid w:val="00C6042B"/>
    <w:rsid w:val="00C60EBD"/>
    <w:rsid w:val="00C60F29"/>
    <w:rsid w:val="00C61B15"/>
    <w:rsid w:val="00C620A1"/>
    <w:rsid w:val="00C62FC8"/>
    <w:rsid w:val="00C63695"/>
    <w:rsid w:val="00C639B2"/>
    <w:rsid w:val="00C64481"/>
    <w:rsid w:val="00C644CC"/>
    <w:rsid w:val="00C66ABB"/>
    <w:rsid w:val="00C67060"/>
    <w:rsid w:val="00C67550"/>
    <w:rsid w:val="00C703C2"/>
    <w:rsid w:val="00C70625"/>
    <w:rsid w:val="00C7071B"/>
    <w:rsid w:val="00C70836"/>
    <w:rsid w:val="00C7287A"/>
    <w:rsid w:val="00C7329E"/>
    <w:rsid w:val="00C74E9A"/>
    <w:rsid w:val="00C75CDC"/>
    <w:rsid w:val="00C77BA5"/>
    <w:rsid w:val="00C80500"/>
    <w:rsid w:val="00C829E3"/>
    <w:rsid w:val="00C82F4A"/>
    <w:rsid w:val="00C837D7"/>
    <w:rsid w:val="00C83B7E"/>
    <w:rsid w:val="00C83E88"/>
    <w:rsid w:val="00C84BA2"/>
    <w:rsid w:val="00C851D8"/>
    <w:rsid w:val="00C856A9"/>
    <w:rsid w:val="00C85B40"/>
    <w:rsid w:val="00C85DB7"/>
    <w:rsid w:val="00C87507"/>
    <w:rsid w:val="00C90EB5"/>
    <w:rsid w:val="00C912CC"/>
    <w:rsid w:val="00C91E38"/>
    <w:rsid w:val="00C92F80"/>
    <w:rsid w:val="00C953E5"/>
    <w:rsid w:val="00C95B70"/>
    <w:rsid w:val="00C97071"/>
    <w:rsid w:val="00C97402"/>
    <w:rsid w:val="00C97744"/>
    <w:rsid w:val="00C97A68"/>
    <w:rsid w:val="00CA112E"/>
    <w:rsid w:val="00CA18C6"/>
    <w:rsid w:val="00CA35AF"/>
    <w:rsid w:val="00CA4A3F"/>
    <w:rsid w:val="00CA4C33"/>
    <w:rsid w:val="00CA71B9"/>
    <w:rsid w:val="00CA71FA"/>
    <w:rsid w:val="00CA7DAA"/>
    <w:rsid w:val="00CB04F1"/>
    <w:rsid w:val="00CB0562"/>
    <w:rsid w:val="00CB0BFF"/>
    <w:rsid w:val="00CB1E9C"/>
    <w:rsid w:val="00CB2FB1"/>
    <w:rsid w:val="00CB4CB6"/>
    <w:rsid w:val="00CB79B7"/>
    <w:rsid w:val="00CC004D"/>
    <w:rsid w:val="00CC068A"/>
    <w:rsid w:val="00CC0BDB"/>
    <w:rsid w:val="00CC14B1"/>
    <w:rsid w:val="00CC1719"/>
    <w:rsid w:val="00CC454E"/>
    <w:rsid w:val="00CC5072"/>
    <w:rsid w:val="00CC6367"/>
    <w:rsid w:val="00CC685A"/>
    <w:rsid w:val="00CC6F69"/>
    <w:rsid w:val="00CC7905"/>
    <w:rsid w:val="00CD055D"/>
    <w:rsid w:val="00CD3DD4"/>
    <w:rsid w:val="00CD4268"/>
    <w:rsid w:val="00CD478C"/>
    <w:rsid w:val="00CD5395"/>
    <w:rsid w:val="00CD6F3C"/>
    <w:rsid w:val="00CD7481"/>
    <w:rsid w:val="00CE0CC4"/>
    <w:rsid w:val="00CE2FFB"/>
    <w:rsid w:val="00CE35D4"/>
    <w:rsid w:val="00CE40F6"/>
    <w:rsid w:val="00CE419F"/>
    <w:rsid w:val="00CE5C5F"/>
    <w:rsid w:val="00CE6AC5"/>
    <w:rsid w:val="00CE7B5D"/>
    <w:rsid w:val="00CE7CC3"/>
    <w:rsid w:val="00CE7EFA"/>
    <w:rsid w:val="00CE7FAF"/>
    <w:rsid w:val="00CF128A"/>
    <w:rsid w:val="00CF1718"/>
    <w:rsid w:val="00CF24F2"/>
    <w:rsid w:val="00CF29B5"/>
    <w:rsid w:val="00CF377C"/>
    <w:rsid w:val="00CF3A28"/>
    <w:rsid w:val="00CF4DF9"/>
    <w:rsid w:val="00CF735E"/>
    <w:rsid w:val="00CF7841"/>
    <w:rsid w:val="00CF7B3D"/>
    <w:rsid w:val="00D00D2E"/>
    <w:rsid w:val="00D0139B"/>
    <w:rsid w:val="00D014E7"/>
    <w:rsid w:val="00D023A6"/>
    <w:rsid w:val="00D02FCA"/>
    <w:rsid w:val="00D0412E"/>
    <w:rsid w:val="00D04D3A"/>
    <w:rsid w:val="00D051D7"/>
    <w:rsid w:val="00D0615A"/>
    <w:rsid w:val="00D06DA2"/>
    <w:rsid w:val="00D11559"/>
    <w:rsid w:val="00D12C0D"/>
    <w:rsid w:val="00D13E6E"/>
    <w:rsid w:val="00D14FC0"/>
    <w:rsid w:val="00D15500"/>
    <w:rsid w:val="00D1580E"/>
    <w:rsid w:val="00D16745"/>
    <w:rsid w:val="00D16D2F"/>
    <w:rsid w:val="00D2036F"/>
    <w:rsid w:val="00D20C25"/>
    <w:rsid w:val="00D22BE3"/>
    <w:rsid w:val="00D244F3"/>
    <w:rsid w:val="00D27C0F"/>
    <w:rsid w:val="00D27FFA"/>
    <w:rsid w:val="00D30652"/>
    <w:rsid w:val="00D3189D"/>
    <w:rsid w:val="00D3310C"/>
    <w:rsid w:val="00D3395A"/>
    <w:rsid w:val="00D369AC"/>
    <w:rsid w:val="00D402B7"/>
    <w:rsid w:val="00D40501"/>
    <w:rsid w:val="00D41153"/>
    <w:rsid w:val="00D41844"/>
    <w:rsid w:val="00D430EE"/>
    <w:rsid w:val="00D432B0"/>
    <w:rsid w:val="00D43EB1"/>
    <w:rsid w:val="00D453A5"/>
    <w:rsid w:val="00D46571"/>
    <w:rsid w:val="00D46B8E"/>
    <w:rsid w:val="00D47A60"/>
    <w:rsid w:val="00D50BAC"/>
    <w:rsid w:val="00D50FCE"/>
    <w:rsid w:val="00D52204"/>
    <w:rsid w:val="00D5301A"/>
    <w:rsid w:val="00D53448"/>
    <w:rsid w:val="00D54842"/>
    <w:rsid w:val="00D56833"/>
    <w:rsid w:val="00D600B9"/>
    <w:rsid w:val="00D60350"/>
    <w:rsid w:val="00D6053F"/>
    <w:rsid w:val="00D61A48"/>
    <w:rsid w:val="00D65060"/>
    <w:rsid w:val="00D65BFD"/>
    <w:rsid w:val="00D65FED"/>
    <w:rsid w:val="00D66F08"/>
    <w:rsid w:val="00D6704B"/>
    <w:rsid w:val="00D67B71"/>
    <w:rsid w:val="00D70EE9"/>
    <w:rsid w:val="00D7104D"/>
    <w:rsid w:val="00D71C98"/>
    <w:rsid w:val="00D7214D"/>
    <w:rsid w:val="00D72CF0"/>
    <w:rsid w:val="00D72D7C"/>
    <w:rsid w:val="00D744DA"/>
    <w:rsid w:val="00D75CD5"/>
    <w:rsid w:val="00D76061"/>
    <w:rsid w:val="00D77413"/>
    <w:rsid w:val="00D80B2A"/>
    <w:rsid w:val="00D81ADF"/>
    <w:rsid w:val="00D82B49"/>
    <w:rsid w:val="00D836B7"/>
    <w:rsid w:val="00D83D02"/>
    <w:rsid w:val="00D840D3"/>
    <w:rsid w:val="00D84FC7"/>
    <w:rsid w:val="00D8508B"/>
    <w:rsid w:val="00D865AB"/>
    <w:rsid w:val="00D904F2"/>
    <w:rsid w:val="00D91DCA"/>
    <w:rsid w:val="00D926D3"/>
    <w:rsid w:val="00D92CDB"/>
    <w:rsid w:val="00D94393"/>
    <w:rsid w:val="00D944F7"/>
    <w:rsid w:val="00D95EE9"/>
    <w:rsid w:val="00D969A1"/>
    <w:rsid w:val="00D97BFD"/>
    <w:rsid w:val="00DA02A2"/>
    <w:rsid w:val="00DA16F4"/>
    <w:rsid w:val="00DA3074"/>
    <w:rsid w:val="00DA55FB"/>
    <w:rsid w:val="00DA5F5E"/>
    <w:rsid w:val="00DA7009"/>
    <w:rsid w:val="00DA7B7A"/>
    <w:rsid w:val="00DB110E"/>
    <w:rsid w:val="00DB211F"/>
    <w:rsid w:val="00DB23A0"/>
    <w:rsid w:val="00DB23FA"/>
    <w:rsid w:val="00DB399D"/>
    <w:rsid w:val="00DB3A3E"/>
    <w:rsid w:val="00DB739D"/>
    <w:rsid w:val="00DC1F6E"/>
    <w:rsid w:val="00DC289C"/>
    <w:rsid w:val="00DC2F87"/>
    <w:rsid w:val="00DC337A"/>
    <w:rsid w:val="00DC36CE"/>
    <w:rsid w:val="00DC5102"/>
    <w:rsid w:val="00DC5F65"/>
    <w:rsid w:val="00DC61FA"/>
    <w:rsid w:val="00DC680F"/>
    <w:rsid w:val="00DC6CB1"/>
    <w:rsid w:val="00DD056A"/>
    <w:rsid w:val="00DD08A2"/>
    <w:rsid w:val="00DD0DC4"/>
    <w:rsid w:val="00DD11A8"/>
    <w:rsid w:val="00DD2F64"/>
    <w:rsid w:val="00DD34DD"/>
    <w:rsid w:val="00DE4B65"/>
    <w:rsid w:val="00DE58F5"/>
    <w:rsid w:val="00DE5ACC"/>
    <w:rsid w:val="00DE6093"/>
    <w:rsid w:val="00DE649A"/>
    <w:rsid w:val="00DE74E5"/>
    <w:rsid w:val="00DE7DA1"/>
    <w:rsid w:val="00DF00E1"/>
    <w:rsid w:val="00DF0B7F"/>
    <w:rsid w:val="00DF0F66"/>
    <w:rsid w:val="00DF1866"/>
    <w:rsid w:val="00DF26FA"/>
    <w:rsid w:val="00DF3676"/>
    <w:rsid w:val="00DF4F8B"/>
    <w:rsid w:val="00DF6EB4"/>
    <w:rsid w:val="00E03512"/>
    <w:rsid w:val="00E04700"/>
    <w:rsid w:val="00E047FB"/>
    <w:rsid w:val="00E05FA2"/>
    <w:rsid w:val="00E063AA"/>
    <w:rsid w:val="00E069C4"/>
    <w:rsid w:val="00E06A14"/>
    <w:rsid w:val="00E104A8"/>
    <w:rsid w:val="00E10ADE"/>
    <w:rsid w:val="00E110C4"/>
    <w:rsid w:val="00E114CB"/>
    <w:rsid w:val="00E1241B"/>
    <w:rsid w:val="00E126F8"/>
    <w:rsid w:val="00E13860"/>
    <w:rsid w:val="00E14112"/>
    <w:rsid w:val="00E147F2"/>
    <w:rsid w:val="00E21D2B"/>
    <w:rsid w:val="00E24507"/>
    <w:rsid w:val="00E246F8"/>
    <w:rsid w:val="00E2493F"/>
    <w:rsid w:val="00E254F7"/>
    <w:rsid w:val="00E25A6F"/>
    <w:rsid w:val="00E271AF"/>
    <w:rsid w:val="00E27460"/>
    <w:rsid w:val="00E32A73"/>
    <w:rsid w:val="00E32DCE"/>
    <w:rsid w:val="00E33028"/>
    <w:rsid w:val="00E33553"/>
    <w:rsid w:val="00E34335"/>
    <w:rsid w:val="00E3492D"/>
    <w:rsid w:val="00E34CB0"/>
    <w:rsid w:val="00E357F2"/>
    <w:rsid w:val="00E37778"/>
    <w:rsid w:val="00E41008"/>
    <w:rsid w:val="00E41036"/>
    <w:rsid w:val="00E4164F"/>
    <w:rsid w:val="00E41F1B"/>
    <w:rsid w:val="00E42FC7"/>
    <w:rsid w:val="00E432B8"/>
    <w:rsid w:val="00E4385F"/>
    <w:rsid w:val="00E469AC"/>
    <w:rsid w:val="00E47142"/>
    <w:rsid w:val="00E47EA0"/>
    <w:rsid w:val="00E537AD"/>
    <w:rsid w:val="00E5386B"/>
    <w:rsid w:val="00E5407A"/>
    <w:rsid w:val="00E55A23"/>
    <w:rsid w:val="00E55CD0"/>
    <w:rsid w:val="00E55EBE"/>
    <w:rsid w:val="00E60BDD"/>
    <w:rsid w:val="00E61868"/>
    <w:rsid w:val="00E6350E"/>
    <w:rsid w:val="00E64F37"/>
    <w:rsid w:val="00E65E5B"/>
    <w:rsid w:val="00E66EE5"/>
    <w:rsid w:val="00E67589"/>
    <w:rsid w:val="00E67AA1"/>
    <w:rsid w:val="00E67B04"/>
    <w:rsid w:val="00E70D45"/>
    <w:rsid w:val="00E721D4"/>
    <w:rsid w:val="00E72C22"/>
    <w:rsid w:val="00E7407E"/>
    <w:rsid w:val="00E74287"/>
    <w:rsid w:val="00E74727"/>
    <w:rsid w:val="00E75332"/>
    <w:rsid w:val="00E75441"/>
    <w:rsid w:val="00E764A5"/>
    <w:rsid w:val="00E76C7B"/>
    <w:rsid w:val="00E77663"/>
    <w:rsid w:val="00E77AAF"/>
    <w:rsid w:val="00E80170"/>
    <w:rsid w:val="00E80877"/>
    <w:rsid w:val="00E82420"/>
    <w:rsid w:val="00E82EBA"/>
    <w:rsid w:val="00E835BF"/>
    <w:rsid w:val="00E849A1"/>
    <w:rsid w:val="00E84C13"/>
    <w:rsid w:val="00E85A14"/>
    <w:rsid w:val="00E90077"/>
    <w:rsid w:val="00E908A0"/>
    <w:rsid w:val="00E90CC7"/>
    <w:rsid w:val="00E90E1A"/>
    <w:rsid w:val="00E91A41"/>
    <w:rsid w:val="00E92075"/>
    <w:rsid w:val="00E93C4E"/>
    <w:rsid w:val="00E94A43"/>
    <w:rsid w:val="00E953F7"/>
    <w:rsid w:val="00E973F9"/>
    <w:rsid w:val="00E97930"/>
    <w:rsid w:val="00E97D7F"/>
    <w:rsid w:val="00EA0FFB"/>
    <w:rsid w:val="00EA1BC0"/>
    <w:rsid w:val="00EA1CBD"/>
    <w:rsid w:val="00EA28F3"/>
    <w:rsid w:val="00EA50E1"/>
    <w:rsid w:val="00EA5B26"/>
    <w:rsid w:val="00EA5E32"/>
    <w:rsid w:val="00EA6E0C"/>
    <w:rsid w:val="00EB032D"/>
    <w:rsid w:val="00EB0706"/>
    <w:rsid w:val="00EB0CBF"/>
    <w:rsid w:val="00EB2903"/>
    <w:rsid w:val="00EB3562"/>
    <w:rsid w:val="00EB3D7B"/>
    <w:rsid w:val="00EB69F4"/>
    <w:rsid w:val="00EB6B97"/>
    <w:rsid w:val="00EC044F"/>
    <w:rsid w:val="00EC045A"/>
    <w:rsid w:val="00EC10A7"/>
    <w:rsid w:val="00EC2100"/>
    <w:rsid w:val="00EC23E0"/>
    <w:rsid w:val="00EC2704"/>
    <w:rsid w:val="00EC3C72"/>
    <w:rsid w:val="00EC48E7"/>
    <w:rsid w:val="00EC6CEC"/>
    <w:rsid w:val="00ED424D"/>
    <w:rsid w:val="00ED49BE"/>
    <w:rsid w:val="00ED6AF9"/>
    <w:rsid w:val="00EE087E"/>
    <w:rsid w:val="00EE1389"/>
    <w:rsid w:val="00EE1CC2"/>
    <w:rsid w:val="00EE2F45"/>
    <w:rsid w:val="00EE398A"/>
    <w:rsid w:val="00EE4DB4"/>
    <w:rsid w:val="00EE5A2F"/>
    <w:rsid w:val="00EE68FA"/>
    <w:rsid w:val="00EE7D22"/>
    <w:rsid w:val="00EF14FD"/>
    <w:rsid w:val="00EF19FE"/>
    <w:rsid w:val="00EF1D1E"/>
    <w:rsid w:val="00EF2EEE"/>
    <w:rsid w:val="00EF3146"/>
    <w:rsid w:val="00EF422F"/>
    <w:rsid w:val="00EF4380"/>
    <w:rsid w:val="00F0008B"/>
    <w:rsid w:val="00F007D8"/>
    <w:rsid w:val="00F03338"/>
    <w:rsid w:val="00F03655"/>
    <w:rsid w:val="00F03BE6"/>
    <w:rsid w:val="00F03D27"/>
    <w:rsid w:val="00F04563"/>
    <w:rsid w:val="00F04C45"/>
    <w:rsid w:val="00F055AD"/>
    <w:rsid w:val="00F11445"/>
    <w:rsid w:val="00F127FA"/>
    <w:rsid w:val="00F14AF6"/>
    <w:rsid w:val="00F152C7"/>
    <w:rsid w:val="00F16EB2"/>
    <w:rsid w:val="00F176E1"/>
    <w:rsid w:val="00F17B2B"/>
    <w:rsid w:val="00F21E91"/>
    <w:rsid w:val="00F22162"/>
    <w:rsid w:val="00F2686D"/>
    <w:rsid w:val="00F26C54"/>
    <w:rsid w:val="00F275DF"/>
    <w:rsid w:val="00F27B76"/>
    <w:rsid w:val="00F3020B"/>
    <w:rsid w:val="00F3088D"/>
    <w:rsid w:val="00F308AF"/>
    <w:rsid w:val="00F31B61"/>
    <w:rsid w:val="00F31C75"/>
    <w:rsid w:val="00F31CB4"/>
    <w:rsid w:val="00F322F7"/>
    <w:rsid w:val="00F33115"/>
    <w:rsid w:val="00F33B45"/>
    <w:rsid w:val="00F33CD7"/>
    <w:rsid w:val="00F36156"/>
    <w:rsid w:val="00F36411"/>
    <w:rsid w:val="00F36599"/>
    <w:rsid w:val="00F36B79"/>
    <w:rsid w:val="00F37D3E"/>
    <w:rsid w:val="00F405EB"/>
    <w:rsid w:val="00F40621"/>
    <w:rsid w:val="00F409A5"/>
    <w:rsid w:val="00F40FA3"/>
    <w:rsid w:val="00F417AB"/>
    <w:rsid w:val="00F421B8"/>
    <w:rsid w:val="00F42995"/>
    <w:rsid w:val="00F434A4"/>
    <w:rsid w:val="00F463AE"/>
    <w:rsid w:val="00F46AB9"/>
    <w:rsid w:val="00F46C5B"/>
    <w:rsid w:val="00F47488"/>
    <w:rsid w:val="00F47F17"/>
    <w:rsid w:val="00F501C4"/>
    <w:rsid w:val="00F503F6"/>
    <w:rsid w:val="00F50CE4"/>
    <w:rsid w:val="00F51AB7"/>
    <w:rsid w:val="00F52A90"/>
    <w:rsid w:val="00F5326A"/>
    <w:rsid w:val="00F5373C"/>
    <w:rsid w:val="00F54BB1"/>
    <w:rsid w:val="00F55DB8"/>
    <w:rsid w:val="00F568FA"/>
    <w:rsid w:val="00F57897"/>
    <w:rsid w:val="00F57FB4"/>
    <w:rsid w:val="00F60B73"/>
    <w:rsid w:val="00F60D1F"/>
    <w:rsid w:val="00F6190C"/>
    <w:rsid w:val="00F63B0F"/>
    <w:rsid w:val="00F64105"/>
    <w:rsid w:val="00F65C5B"/>
    <w:rsid w:val="00F73993"/>
    <w:rsid w:val="00F73BDC"/>
    <w:rsid w:val="00F75FA9"/>
    <w:rsid w:val="00F76C70"/>
    <w:rsid w:val="00F800FF"/>
    <w:rsid w:val="00F82119"/>
    <w:rsid w:val="00F82570"/>
    <w:rsid w:val="00F82AED"/>
    <w:rsid w:val="00F82D3F"/>
    <w:rsid w:val="00F8355A"/>
    <w:rsid w:val="00F84A0A"/>
    <w:rsid w:val="00F8502B"/>
    <w:rsid w:val="00F858FC"/>
    <w:rsid w:val="00F8714D"/>
    <w:rsid w:val="00F90AE0"/>
    <w:rsid w:val="00F91A7B"/>
    <w:rsid w:val="00F91D6E"/>
    <w:rsid w:val="00F93D59"/>
    <w:rsid w:val="00F93DA1"/>
    <w:rsid w:val="00F941E5"/>
    <w:rsid w:val="00F950C9"/>
    <w:rsid w:val="00F95172"/>
    <w:rsid w:val="00F95D57"/>
    <w:rsid w:val="00F95E8B"/>
    <w:rsid w:val="00F96058"/>
    <w:rsid w:val="00FA013F"/>
    <w:rsid w:val="00FA06E6"/>
    <w:rsid w:val="00FA1510"/>
    <w:rsid w:val="00FA18C2"/>
    <w:rsid w:val="00FA5792"/>
    <w:rsid w:val="00FA5971"/>
    <w:rsid w:val="00FA6748"/>
    <w:rsid w:val="00FA6A0F"/>
    <w:rsid w:val="00FB14D2"/>
    <w:rsid w:val="00FB416C"/>
    <w:rsid w:val="00FB4820"/>
    <w:rsid w:val="00FB5F67"/>
    <w:rsid w:val="00FB75EC"/>
    <w:rsid w:val="00FC2567"/>
    <w:rsid w:val="00FC30D9"/>
    <w:rsid w:val="00FC37B5"/>
    <w:rsid w:val="00FC3FC5"/>
    <w:rsid w:val="00FC49B4"/>
    <w:rsid w:val="00FC55BA"/>
    <w:rsid w:val="00FC55D8"/>
    <w:rsid w:val="00FD0621"/>
    <w:rsid w:val="00FD097D"/>
    <w:rsid w:val="00FD0A9A"/>
    <w:rsid w:val="00FD0C54"/>
    <w:rsid w:val="00FD2034"/>
    <w:rsid w:val="00FD2A2D"/>
    <w:rsid w:val="00FD3B60"/>
    <w:rsid w:val="00FD5E5D"/>
    <w:rsid w:val="00FD5ED4"/>
    <w:rsid w:val="00FD64A1"/>
    <w:rsid w:val="00FE0FB0"/>
    <w:rsid w:val="00FE1747"/>
    <w:rsid w:val="00FE175F"/>
    <w:rsid w:val="00FE2AEA"/>
    <w:rsid w:val="00FE4036"/>
    <w:rsid w:val="00FE4EDE"/>
    <w:rsid w:val="00FE5213"/>
    <w:rsid w:val="00FE583C"/>
    <w:rsid w:val="00FE589F"/>
    <w:rsid w:val="00FE5CC4"/>
    <w:rsid w:val="00FF233F"/>
    <w:rsid w:val="00FF3BA4"/>
    <w:rsid w:val="00FF480C"/>
    <w:rsid w:val="00FF7E30"/>
    <w:rsid w:val="00FF7F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36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DB6"/>
    <w:rPr>
      <w:rFonts w:ascii="Times New Roman" w:eastAsia="Times New Roman" w:hAnsi="Times New Roman"/>
      <w:sz w:val="24"/>
      <w:szCs w:val="24"/>
    </w:rPr>
  </w:style>
  <w:style w:type="paragraph" w:styleId="Heading2">
    <w:name w:val="heading 2"/>
    <w:basedOn w:val="Normal"/>
    <w:next w:val="Normal"/>
    <w:link w:val="Heading2Char"/>
    <w:uiPriority w:val="9"/>
    <w:semiHidden/>
    <w:unhideWhenUsed/>
    <w:qFormat/>
    <w:rsid w:val="00861F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6AB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F322F7"/>
    <w:pPr>
      <w:spacing w:before="100" w:beforeAutospacing="1" w:after="100" w:afterAutospacing="1"/>
      <w:outlineLvl w:val="3"/>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C26DB6"/>
    <w:pPr>
      <w:ind w:left="900" w:hanging="900"/>
    </w:pPr>
    <w:rPr>
      <w:b/>
      <w:bCs/>
    </w:rPr>
  </w:style>
  <w:style w:type="character" w:customStyle="1" w:styleId="BodyTextIndentChar">
    <w:name w:val="Body Text Indent Char"/>
    <w:basedOn w:val="DefaultParagraphFont"/>
    <w:link w:val="BodyTextIndent"/>
    <w:semiHidden/>
    <w:rsid w:val="00C26DB6"/>
    <w:rPr>
      <w:rFonts w:ascii="Times New Roman" w:eastAsia="Times New Roman" w:hAnsi="Times New Roman" w:cs="Times New Roman"/>
      <w:b/>
      <w:bCs/>
      <w:sz w:val="24"/>
      <w:szCs w:val="24"/>
      <w:lang w:eastAsia="el-GR"/>
    </w:rPr>
  </w:style>
  <w:style w:type="paragraph" w:styleId="Header">
    <w:name w:val="header"/>
    <w:basedOn w:val="Normal"/>
    <w:link w:val="HeaderChar"/>
    <w:rsid w:val="00C26DB6"/>
    <w:pPr>
      <w:tabs>
        <w:tab w:val="center" w:pos="4320"/>
        <w:tab w:val="right" w:pos="8640"/>
      </w:tabs>
    </w:pPr>
    <w:rPr>
      <w:lang w:val="en-GB" w:eastAsia="en-US"/>
    </w:rPr>
  </w:style>
  <w:style w:type="character" w:customStyle="1" w:styleId="HeaderChar">
    <w:name w:val="Header Char"/>
    <w:basedOn w:val="DefaultParagraphFont"/>
    <w:link w:val="Header"/>
    <w:rsid w:val="00C26DB6"/>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3F26BC"/>
    <w:rPr>
      <w:rFonts w:ascii="Tahoma" w:hAnsi="Tahoma" w:cs="Tahoma"/>
      <w:sz w:val="16"/>
      <w:szCs w:val="16"/>
    </w:rPr>
  </w:style>
  <w:style w:type="character" w:customStyle="1" w:styleId="BalloonTextChar">
    <w:name w:val="Balloon Text Char"/>
    <w:basedOn w:val="DefaultParagraphFont"/>
    <w:link w:val="BalloonText"/>
    <w:uiPriority w:val="99"/>
    <w:semiHidden/>
    <w:rsid w:val="003F26BC"/>
    <w:rPr>
      <w:rFonts w:ascii="Tahoma" w:eastAsia="Times New Roman" w:hAnsi="Tahoma" w:cs="Tahoma"/>
      <w:sz w:val="16"/>
      <w:szCs w:val="16"/>
    </w:rPr>
  </w:style>
  <w:style w:type="character" w:customStyle="1" w:styleId="CharChar6">
    <w:name w:val="Char Char6"/>
    <w:basedOn w:val="DefaultParagraphFont"/>
    <w:semiHidden/>
    <w:rsid w:val="00055113"/>
    <w:rPr>
      <w:sz w:val="24"/>
      <w:szCs w:val="24"/>
      <w:lang w:val="el-GR" w:eastAsia="el-GR" w:bidi="ar-SA"/>
    </w:rPr>
  </w:style>
  <w:style w:type="table" w:styleId="TableGrid">
    <w:name w:val="Table Grid"/>
    <w:basedOn w:val="TableNormal"/>
    <w:rsid w:val="00EB69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4093E"/>
    <w:pPr>
      <w:tabs>
        <w:tab w:val="center" w:pos="4153"/>
        <w:tab w:val="right" w:pos="8306"/>
      </w:tabs>
    </w:pPr>
  </w:style>
  <w:style w:type="character" w:customStyle="1" w:styleId="FooterChar">
    <w:name w:val="Footer Char"/>
    <w:basedOn w:val="DefaultParagraphFont"/>
    <w:link w:val="Footer"/>
    <w:uiPriority w:val="99"/>
    <w:rsid w:val="0014093E"/>
    <w:rPr>
      <w:rFonts w:ascii="Times New Roman" w:eastAsia="Times New Roman" w:hAnsi="Times New Roman"/>
      <w:sz w:val="24"/>
      <w:szCs w:val="24"/>
    </w:rPr>
  </w:style>
  <w:style w:type="paragraph" w:customStyle="1" w:styleId="ListParagraph1">
    <w:name w:val="List Paragraph1"/>
    <w:basedOn w:val="Normal"/>
    <w:uiPriority w:val="34"/>
    <w:qFormat/>
    <w:rsid w:val="008E7148"/>
    <w:pPr>
      <w:ind w:left="720"/>
    </w:pPr>
    <w:rPr>
      <w:sz w:val="20"/>
      <w:szCs w:val="20"/>
      <w:lang w:val="en-GB"/>
    </w:rPr>
  </w:style>
  <w:style w:type="paragraph" w:styleId="NormalWeb">
    <w:name w:val="Normal (Web)"/>
    <w:basedOn w:val="Normal"/>
    <w:uiPriority w:val="99"/>
    <w:rsid w:val="009506AF"/>
    <w:pPr>
      <w:spacing w:before="100" w:beforeAutospacing="1" w:after="100" w:afterAutospacing="1"/>
    </w:pPr>
    <w:rPr>
      <w:lang w:val="de-DE" w:eastAsia="de-DE"/>
    </w:rPr>
  </w:style>
  <w:style w:type="character" w:customStyle="1" w:styleId="apple-converted-space">
    <w:name w:val="apple-converted-space"/>
    <w:basedOn w:val="DefaultParagraphFont"/>
    <w:rsid w:val="00BA0C81"/>
  </w:style>
  <w:style w:type="character" w:styleId="HTMLAcronym">
    <w:name w:val="HTML Acronym"/>
    <w:basedOn w:val="DefaultParagraphFont"/>
    <w:uiPriority w:val="99"/>
    <w:semiHidden/>
    <w:unhideWhenUsed/>
    <w:rsid w:val="00BA0C81"/>
  </w:style>
  <w:style w:type="character" w:styleId="Hyperlink">
    <w:name w:val="Hyperlink"/>
    <w:basedOn w:val="DefaultParagraphFont"/>
    <w:uiPriority w:val="99"/>
    <w:unhideWhenUsed/>
    <w:rsid w:val="00643A39"/>
    <w:rPr>
      <w:color w:val="0000FF" w:themeColor="hyperlink"/>
      <w:u w:val="single"/>
    </w:rPr>
  </w:style>
  <w:style w:type="paragraph" w:customStyle="1" w:styleId="Default">
    <w:name w:val="Default"/>
    <w:rsid w:val="004D61A2"/>
    <w:pPr>
      <w:autoSpaceDE w:val="0"/>
      <w:autoSpaceDN w:val="0"/>
      <w:adjustRightInd w:val="0"/>
    </w:pPr>
    <w:rPr>
      <w:rFonts w:ascii="MetaNormalLF-Roman" w:hAnsi="MetaNormalLF-Roman" w:cs="MetaNormalLF-Roman"/>
      <w:color w:val="000000"/>
      <w:sz w:val="24"/>
      <w:szCs w:val="24"/>
      <w:lang w:val="en-GB"/>
    </w:rPr>
  </w:style>
  <w:style w:type="character" w:styleId="FollowedHyperlink">
    <w:name w:val="FollowedHyperlink"/>
    <w:basedOn w:val="DefaultParagraphFont"/>
    <w:uiPriority w:val="99"/>
    <w:semiHidden/>
    <w:unhideWhenUsed/>
    <w:rsid w:val="00384110"/>
    <w:rPr>
      <w:color w:val="800080" w:themeColor="followedHyperlink"/>
      <w:u w:val="single"/>
    </w:rPr>
  </w:style>
  <w:style w:type="paragraph" w:styleId="FootnoteText">
    <w:name w:val="footnote text"/>
    <w:basedOn w:val="Normal"/>
    <w:link w:val="FootnoteTextChar"/>
    <w:uiPriority w:val="99"/>
    <w:semiHidden/>
    <w:unhideWhenUsed/>
    <w:rsid w:val="00FF7E30"/>
    <w:rPr>
      <w:sz w:val="20"/>
      <w:szCs w:val="20"/>
    </w:rPr>
  </w:style>
  <w:style w:type="character" w:customStyle="1" w:styleId="FootnoteTextChar">
    <w:name w:val="Footnote Text Char"/>
    <w:basedOn w:val="DefaultParagraphFont"/>
    <w:link w:val="FootnoteText"/>
    <w:uiPriority w:val="99"/>
    <w:semiHidden/>
    <w:rsid w:val="00FF7E30"/>
    <w:rPr>
      <w:rFonts w:ascii="Times New Roman" w:eastAsia="Times New Roman" w:hAnsi="Times New Roman"/>
    </w:rPr>
  </w:style>
  <w:style w:type="character" w:styleId="FootnoteReference">
    <w:name w:val="footnote reference"/>
    <w:basedOn w:val="DefaultParagraphFont"/>
    <w:uiPriority w:val="99"/>
    <w:semiHidden/>
    <w:unhideWhenUsed/>
    <w:rsid w:val="00FF7E30"/>
    <w:rPr>
      <w:vertAlign w:val="superscript"/>
    </w:rPr>
  </w:style>
  <w:style w:type="paragraph" w:customStyle="1" w:styleId="paragraph">
    <w:name w:val="paragraph"/>
    <w:basedOn w:val="Normal"/>
    <w:rsid w:val="00C63695"/>
    <w:pPr>
      <w:spacing w:before="100" w:beforeAutospacing="1" w:after="100" w:afterAutospacing="1"/>
    </w:pPr>
    <w:rPr>
      <w:lang w:val="en-US" w:eastAsia="en-US"/>
    </w:rPr>
  </w:style>
  <w:style w:type="paragraph" w:styleId="ListParagraph">
    <w:name w:val="List Paragraph"/>
    <w:basedOn w:val="Normal"/>
    <w:uiPriority w:val="34"/>
    <w:qFormat/>
    <w:rsid w:val="000D15F2"/>
    <w:pPr>
      <w:ind w:left="720"/>
      <w:contextualSpacing/>
    </w:pPr>
  </w:style>
  <w:style w:type="paragraph" w:customStyle="1" w:styleId="Textbody">
    <w:name w:val="Text body"/>
    <w:basedOn w:val="Normal"/>
    <w:qFormat/>
    <w:rsid w:val="00C703C2"/>
    <w:pPr>
      <w:widowControl w:val="0"/>
      <w:suppressAutoHyphens/>
      <w:spacing w:after="120"/>
    </w:pPr>
    <w:rPr>
      <w:rFonts w:eastAsia="SimSun" w:cs="Mangal"/>
      <w:kern w:val="16"/>
      <w:lang w:eastAsia="zh-CN" w:bidi="hi-IN"/>
    </w:rPr>
  </w:style>
  <w:style w:type="character" w:customStyle="1" w:styleId="Heading4Char">
    <w:name w:val="Heading 4 Char"/>
    <w:basedOn w:val="DefaultParagraphFont"/>
    <w:link w:val="Heading4"/>
    <w:uiPriority w:val="9"/>
    <w:rsid w:val="00F322F7"/>
    <w:rPr>
      <w:rFonts w:ascii="Times New Roman" w:eastAsia="Times New Roman" w:hAnsi="Times New Roman"/>
      <w:b/>
      <w:bCs/>
      <w:sz w:val="24"/>
      <w:szCs w:val="24"/>
      <w:lang w:val="en-US" w:eastAsia="en-US"/>
    </w:rPr>
  </w:style>
  <w:style w:type="character" w:customStyle="1" w:styleId="shorter">
    <w:name w:val="shorter"/>
    <w:basedOn w:val="DefaultParagraphFont"/>
    <w:rsid w:val="00F322F7"/>
  </w:style>
  <w:style w:type="character" w:styleId="Emphasis">
    <w:name w:val="Emphasis"/>
    <w:basedOn w:val="DefaultParagraphFont"/>
    <w:uiPriority w:val="20"/>
    <w:qFormat/>
    <w:rsid w:val="00F322F7"/>
    <w:rPr>
      <w:i/>
      <w:iCs/>
    </w:rPr>
  </w:style>
  <w:style w:type="character" w:styleId="Strong">
    <w:name w:val="Strong"/>
    <w:basedOn w:val="DefaultParagraphFont"/>
    <w:uiPriority w:val="22"/>
    <w:qFormat/>
    <w:rsid w:val="006929C4"/>
    <w:rPr>
      <w:b/>
      <w:bCs/>
    </w:rPr>
  </w:style>
  <w:style w:type="character" w:customStyle="1" w:styleId="Heading3Char">
    <w:name w:val="Heading 3 Char"/>
    <w:basedOn w:val="DefaultParagraphFont"/>
    <w:link w:val="Heading3"/>
    <w:uiPriority w:val="9"/>
    <w:semiHidden/>
    <w:rsid w:val="00C66ABB"/>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861FE5"/>
    <w:rPr>
      <w:rFonts w:asciiTheme="majorHAnsi" w:eastAsiaTheme="majorEastAsia" w:hAnsiTheme="majorHAnsi" w:cstheme="majorBidi"/>
      <w:color w:val="365F91" w:themeColor="accent1" w:themeShade="BF"/>
      <w:sz w:val="26"/>
      <w:szCs w:val="26"/>
    </w:rPr>
  </w:style>
  <w:style w:type="paragraph" w:customStyle="1" w:styleId="id-article-content-item">
    <w:name w:val="id-article-content-item"/>
    <w:basedOn w:val="Normal"/>
    <w:rsid w:val="00481191"/>
    <w:pPr>
      <w:spacing w:before="100" w:beforeAutospacing="1" w:after="100" w:afterAutospacing="1"/>
    </w:pPr>
    <w:rPr>
      <w:lang w:val="en-US" w:eastAsia="en-US"/>
    </w:rPr>
  </w:style>
  <w:style w:type="character" w:customStyle="1" w:styleId="c-article-textdrop-cap">
    <w:name w:val="c-article-text__drop-cap"/>
    <w:basedOn w:val="DefaultParagraphFont"/>
    <w:rsid w:val="00737E33"/>
  </w:style>
  <w:style w:type="character" w:styleId="PlaceholderText">
    <w:name w:val="Placeholder Text"/>
    <w:basedOn w:val="DefaultParagraphFont"/>
    <w:uiPriority w:val="99"/>
    <w:semiHidden/>
    <w:rsid w:val="001B606B"/>
    <w:rPr>
      <w:color w:val="808080"/>
    </w:rPr>
  </w:style>
  <w:style w:type="paragraph" w:styleId="EndnoteText">
    <w:name w:val="endnote text"/>
    <w:basedOn w:val="Normal"/>
    <w:link w:val="EndnoteTextChar"/>
    <w:uiPriority w:val="99"/>
    <w:semiHidden/>
    <w:unhideWhenUsed/>
    <w:rsid w:val="00AF33AD"/>
    <w:rPr>
      <w:sz w:val="20"/>
      <w:szCs w:val="20"/>
    </w:rPr>
  </w:style>
  <w:style w:type="character" w:customStyle="1" w:styleId="EndnoteTextChar">
    <w:name w:val="Endnote Text Char"/>
    <w:basedOn w:val="DefaultParagraphFont"/>
    <w:link w:val="EndnoteText"/>
    <w:uiPriority w:val="99"/>
    <w:semiHidden/>
    <w:rsid w:val="00AF33AD"/>
    <w:rPr>
      <w:rFonts w:ascii="Times New Roman" w:eastAsia="Times New Roman" w:hAnsi="Times New Roman"/>
    </w:rPr>
  </w:style>
  <w:style w:type="character" w:styleId="EndnoteReference">
    <w:name w:val="endnote reference"/>
    <w:basedOn w:val="DefaultParagraphFont"/>
    <w:uiPriority w:val="99"/>
    <w:semiHidden/>
    <w:unhideWhenUsed/>
    <w:rsid w:val="00AF33AD"/>
    <w:rPr>
      <w:vertAlign w:val="superscript"/>
    </w:rPr>
  </w:style>
</w:styles>
</file>

<file path=word/webSettings.xml><?xml version="1.0" encoding="utf-8"?>
<w:webSettings xmlns:r="http://schemas.openxmlformats.org/officeDocument/2006/relationships" xmlns:w="http://schemas.openxmlformats.org/wordprocessingml/2006/main">
  <w:divs>
    <w:div w:id="2779968">
      <w:bodyDiv w:val="1"/>
      <w:marLeft w:val="0"/>
      <w:marRight w:val="0"/>
      <w:marTop w:val="0"/>
      <w:marBottom w:val="0"/>
      <w:divBdr>
        <w:top w:val="none" w:sz="0" w:space="0" w:color="auto"/>
        <w:left w:val="none" w:sz="0" w:space="0" w:color="auto"/>
        <w:bottom w:val="none" w:sz="0" w:space="0" w:color="auto"/>
        <w:right w:val="none" w:sz="0" w:space="0" w:color="auto"/>
      </w:divBdr>
    </w:div>
    <w:div w:id="70393932">
      <w:bodyDiv w:val="1"/>
      <w:marLeft w:val="0"/>
      <w:marRight w:val="0"/>
      <w:marTop w:val="0"/>
      <w:marBottom w:val="0"/>
      <w:divBdr>
        <w:top w:val="none" w:sz="0" w:space="0" w:color="auto"/>
        <w:left w:val="none" w:sz="0" w:space="0" w:color="auto"/>
        <w:bottom w:val="none" w:sz="0" w:space="0" w:color="auto"/>
        <w:right w:val="none" w:sz="0" w:space="0" w:color="auto"/>
      </w:divBdr>
    </w:div>
    <w:div w:id="108135933">
      <w:bodyDiv w:val="1"/>
      <w:marLeft w:val="0"/>
      <w:marRight w:val="0"/>
      <w:marTop w:val="0"/>
      <w:marBottom w:val="0"/>
      <w:divBdr>
        <w:top w:val="none" w:sz="0" w:space="0" w:color="auto"/>
        <w:left w:val="none" w:sz="0" w:space="0" w:color="auto"/>
        <w:bottom w:val="none" w:sz="0" w:space="0" w:color="auto"/>
        <w:right w:val="none" w:sz="0" w:space="0" w:color="auto"/>
      </w:divBdr>
    </w:div>
    <w:div w:id="141578906">
      <w:bodyDiv w:val="1"/>
      <w:marLeft w:val="0"/>
      <w:marRight w:val="0"/>
      <w:marTop w:val="0"/>
      <w:marBottom w:val="0"/>
      <w:divBdr>
        <w:top w:val="none" w:sz="0" w:space="0" w:color="auto"/>
        <w:left w:val="none" w:sz="0" w:space="0" w:color="auto"/>
        <w:bottom w:val="none" w:sz="0" w:space="0" w:color="auto"/>
        <w:right w:val="none" w:sz="0" w:space="0" w:color="auto"/>
      </w:divBdr>
    </w:div>
    <w:div w:id="151065432">
      <w:bodyDiv w:val="1"/>
      <w:marLeft w:val="0"/>
      <w:marRight w:val="0"/>
      <w:marTop w:val="0"/>
      <w:marBottom w:val="0"/>
      <w:divBdr>
        <w:top w:val="none" w:sz="0" w:space="0" w:color="auto"/>
        <w:left w:val="none" w:sz="0" w:space="0" w:color="auto"/>
        <w:bottom w:val="none" w:sz="0" w:space="0" w:color="auto"/>
        <w:right w:val="none" w:sz="0" w:space="0" w:color="auto"/>
      </w:divBdr>
    </w:div>
    <w:div w:id="258098817">
      <w:bodyDiv w:val="1"/>
      <w:marLeft w:val="0"/>
      <w:marRight w:val="0"/>
      <w:marTop w:val="0"/>
      <w:marBottom w:val="0"/>
      <w:divBdr>
        <w:top w:val="none" w:sz="0" w:space="0" w:color="auto"/>
        <w:left w:val="none" w:sz="0" w:space="0" w:color="auto"/>
        <w:bottom w:val="none" w:sz="0" w:space="0" w:color="auto"/>
        <w:right w:val="none" w:sz="0" w:space="0" w:color="auto"/>
      </w:divBdr>
    </w:div>
    <w:div w:id="293098827">
      <w:bodyDiv w:val="1"/>
      <w:marLeft w:val="0"/>
      <w:marRight w:val="0"/>
      <w:marTop w:val="0"/>
      <w:marBottom w:val="0"/>
      <w:divBdr>
        <w:top w:val="none" w:sz="0" w:space="0" w:color="auto"/>
        <w:left w:val="none" w:sz="0" w:space="0" w:color="auto"/>
        <w:bottom w:val="none" w:sz="0" w:space="0" w:color="auto"/>
        <w:right w:val="none" w:sz="0" w:space="0" w:color="auto"/>
      </w:divBdr>
      <w:divsChild>
        <w:div w:id="1971012598">
          <w:marLeft w:val="0"/>
          <w:marRight w:val="0"/>
          <w:marTop w:val="0"/>
          <w:marBottom w:val="0"/>
          <w:divBdr>
            <w:top w:val="none" w:sz="0" w:space="0" w:color="auto"/>
            <w:left w:val="none" w:sz="0" w:space="0" w:color="auto"/>
            <w:bottom w:val="none" w:sz="0" w:space="0" w:color="auto"/>
            <w:right w:val="none" w:sz="0" w:space="0" w:color="auto"/>
          </w:divBdr>
          <w:divsChild>
            <w:div w:id="1876235752">
              <w:marLeft w:val="0"/>
              <w:marRight w:val="0"/>
              <w:marTop w:val="0"/>
              <w:marBottom w:val="0"/>
              <w:divBdr>
                <w:top w:val="none" w:sz="0" w:space="0" w:color="auto"/>
                <w:left w:val="none" w:sz="0" w:space="0" w:color="auto"/>
                <w:bottom w:val="none" w:sz="0" w:space="0" w:color="auto"/>
                <w:right w:val="none" w:sz="0" w:space="0" w:color="auto"/>
              </w:divBdr>
              <w:divsChild>
                <w:div w:id="1645042507">
                  <w:marLeft w:val="0"/>
                  <w:marRight w:val="0"/>
                  <w:marTop w:val="0"/>
                  <w:marBottom w:val="0"/>
                  <w:divBdr>
                    <w:top w:val="none" w:sz="0" w:space="0" w:color="auto"/>
                    <w:left w:val="none" w:sz="0" w:space="0" w:color="auto"/>
                    <w:bottom w:val="none" w:sz="0" w:space="0" w:color="auto"/>
                    <w:right w:val="none" w:sz="0" w:space="0" w:color="auto"/>
                  </w:divBdr>
                  <w:divsChild>
                    <w:div w:id="107355084">
                      <w:marLeft w:val="0"/>
                      <w:marRight w:val="0"/>
                      <w:marTop w:val="0"/>
                      <w:marBottom w:val="0"/>
                      <w:divBdr>
                        <w:top w:val="none" w:sz="0" w:space="0" w:color="auto"/>
                        <w:left w:val="none" w:sz="0" w:space="0" w:color="auto"/>
                        <w:bottom w:val="none" w:sz="0" w:space="0" w:color="auto"/>
                        <w:right w:val="none" w:sz="0" w:space="0" w:color="auto"/>
                      </w:divBdr>
                      <w:divsChild>
                        <w:div w:id="1919512224">
                          <w:marLeft w:val="0"/>
                          <w:marRight w:val="0"/>
                          <w:marTop w:val="0"/>
                          <w:marBottom w:val="0"/>
                          <w:divBdr>
                            <w:top w:val="none" w:sz="0" w:space="0" w:color="auto"/>
                            <w:left w:val="none" w:sz="0" w:space="0" w:color="auto"/>
                            <w:bottom w:val="none" w:sz="0" w:space="0" w:color="auto"/>
                            <w:right w:val="none" w:sz="0" w:space="0" w:color="auto"/>
                          </w:divBdr>
                          <w:divsChild>
                            <w:div w:id="1637174387">
                              <w:marLeft w:val="-300"/>
                              <w:marRight w:val="-300"/>
                              <w:marTop w:val="0"/>
                              <w:marBottom w:val="0"/>
                              <w:divBdr>
                                <w:top w:val="none" w:sz="0" w:space="0" w:color="auto"/>
                                <w:left w:val="none" w:sz="0" w:space="0" w:color="auto"/>
                                <w:bottom w:val="none" w:sz="0" w:space="0" w:color="auto"/>
                                <w:right w:val="none" w:sz="0" w:space="0" w:color="auto"/>
                              </w:divBdr>
                              <w:divsChild>
                                <w:div w:id="2373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272238">
          <w:marLeft w:val="0"/>
          <w:marRight w:val="0"/>
          <w:marTop w:val="0"/>
          <w:marBottom w:val="0"/>
          <w:divBdr>
            <w:top w:val="none" w:sz="0" w:space="0" w:color="auto"/>
            <w:left w:val="none" w:sz="0" w:space="0" w:color="auto"/>
            <w:bottom w:val="none" w:sz="0" w:space="0" w:color="auto"/>
            <w:right w:val="none" w:sz="0" w:space="0" w:color="auto"/>
          </w:divBdr>
          <w:divsChild>
            <w:div w:id="2016566940">
              <w:marLeft w:val="0"/>
              <w:marRight w:val="0"/>
              <w:marTop w:val="0"/>
              <w:marBottom w:val="0"/>
              <w:divBdr>
                <w:top w:val="none" w:sz="0" w:space="0" w:color="auto"/>
                <w:left w:val="none" w:sz="0" w:space="0" w:color="auto"/>
                <w:bottom w:val="none" w:sz="0" w:space="0" w:color="auto"/>
                <w:right w:val="none" w:sz="0" w:space="0" w:color="auto"/>
              </w:divBdr>
              <w:divsChild>
                <w:div w:id="1178884192">
                  <w:marLeft w:val="-300"/>
                  <w:marRight w:val="-300"/>
                  <w:marTop w:val="0"/>
                  <w:marBottom w:val="0"/>
                  <w:divBdr>
                    <w:top w:val="none" w:sz="0" w:space="0" w:color="auto"/>
                    <w:left w:val="none" w:sz="0" w:space="0" w:color="auto"/>
                    <w:bottom w:val="none" w:sz="0" w:space="0" w:color="auto"/>
                    <w:right w:val="none" w:sz="0" w:space="0" w:color="auto"/>
                  </w:divBdr>
                  <w:divsChild>
                    <w:div w:id="10770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6873">
      <w:bodyDiv w:val="1"/>
      <w:marLeft w:val="0"/>
      <w:marRight w:val="0"/>
      <w:marTop w:val="0"/>
      <w:marBottom w:val="0"/>
      <w:divBdr>
        <w:top w:val="none" w:sz="0" w:space="0" w:color="auto"/>
        <w:left w:val="none" w:sz="0" w:space="0" w:color="auto"/>
        <w:bottom w:val="none" w:sz="0" w:space="0" w:color="auto"/>
        <w:right w:val="none" w:sz="0" w:space="0" w:color="auto"/>
      </w:divBdr>
    </w:div>
    <w:div w:id="405541208">
      <w:bodyDiv w:val="1"/>
      <w:marLeft w:val="0"/>
      <w:marRight w:val="0"/>
      <w:marTop w:val="0"/>
      <w:marBottom w:val="0"/>
      <w:divBdr>
        <w:top w:val="none" w:sz="0" w:space="0" w:color="auto"/>
        <w:left w:val="none" w:sz="0" w:space="0" w:color="auto"/>
        <w:bottom w:val="none" w:sz="0" w:space="0" w:color="auto"/>
        <w:right w:val="none" w:sz="0" w:space="0" w:color="auto"/>
      </w:divBdr>
    </w:div>
    <w:div w:id="561645698">
      <w:bodyDiv w:val="1"/>
      <w:marLeft w:val="0"/>
      <w:marRight w:val="0"/>
      <w:marTop w:val="0"/>
      <w:marBottom w:val="0"/>
      <w:divBdr>
        <w:top w:val="none" w:sz="0" w:space="0" w:color="auto"/>
        <w:left w:val="none" w:sz="0" w:space="0" w:color="auto"/>
        <w:bottom w:val="none" w:sz="0" w:space="0" w:color="auto"/>
        <w:right w:val="none" w:sz="0" w:space="0" w:color="auto"/>
      </w:divBdr>
    </w:div>
    <w:div w:id="570502347">
      <w:bodyDiv w:val="1"/>
      <w:marLeft w:val="0"/>
      <w:marRight w:val="0"/>
      <w:marTop w:val="0"/>
      <w:marBottom w:val="0"/>
      <w:divBdr>
        <w:top w:val="none" w:sz="0" w:space="0" w:color="auto"/>
        <w:left w:val="none" w:sz="0" w:space="0" w:color="auto"/>
        <w:bottom w:val="none" w:sz="0" w:space="0" w:color="auto"/>
        <w:right w:val="none" w:sz="0" w:space="0" w:color="auto"/>
      </w:divBdr>
    </w:div>
    <w:div w:id="629479091">
      <w:bodyDiv w:val="1"/>
      <w:marLeft w:val="0"/>
      <w:marRight w:val="0"/>
      <w:marTop w:val="0"/>
      <w:marBottom w:val="0"/>
      <w:divBdr>
        <w:top w:val="none" w:sz="0" w:space="0" w:color="auto"/>
        <w:left w:val="none" w:sz="0" w:space="0" w:color="auto"/>
        <w:bottom w:val="none" w:sz="0" w:space="0" w:color="auto"/>
        <w:right w:val="none" w:sz="0" w:space="0" w:color="auto"/>
      </w:divBdr>
    </w:div>
    <w:div w:id="670986191">
      <w:bodyDiv w:val="1"/>
      <w:marLeft w:val="0"/>
      <w:marRight w:val="0"/>
      <w:marTop w:val="0"/>
      <w:marBottom w:val="0"/>
      <w:divBdr>
        <w:top w:val="none" w:sz="0" w:space="0" w:color="auto"/>
        <w:left w:val="none" w:sz="0" w:space="0" w:color="auto"/>
        <w:bottom w:val="none" w:sz="0" w:space="0" w:color="auto"/>
        <w:right w:val="none" w:sz="0" w:space="0" w:color="auto"/>
      </w:divBdr>
    </w:div>
    <w:div w:id="708263903">
      <w:bodyDiv w:val="1"/>
      <w:marLeft w:val="0"/>
      <w:marRight w:val="0"/>
      <w:marTop w:val="0"/>
      <w:marBottom w:val="0"/>
      <w:divBdr>
        <w:top w:val="none" w:sz="0" w:space="0" w:color="auto"/>
        <w:left w:val="none" w:sz="0" w:space="0" w:color="auto"/>
        <w:bottom w:val="none" w:sz="0" w:space="0" w:color="auto"/>
        <w:right w:val="none" w:sz="0" w:space="0" w:color="auto"/>
      </w:divBdr>
    </w:div>
    <w:div w:id="783185612">
      <w:bodyDiv w:val="1"/>
      <w:marLeft w:val="0"/>
      <w:marRight w:val="0"/>
      <w:marTop w:val="0"/>
      <w:marBottom w:val="0"/>
      <w:divBdr>
        <w:top w:val="none" w:sz="0" w:space="0" w:color="auto"/>
        <w:left w:val="none" w:sz="0" w:space="0" w:color="auto"/>
        <w:bottom w:val="none" w:sz="0" w:space="0" w:color="auto"/>
        <w:right w:val="none" w:sz="0" w:space="0" w:color="auto"/>
      </w:divBdr>
    </w:div>
    <w:div w:id="813135925">
      <w:bodyDiv w:val="1"/>
      <w:marLeft w:val="0"/>
      <w:marRight w:val="0"/>
      <w:marTop w:val="0"/>
      <w:marBottom w:val="0"/>
      <w:divBdr>
        <w:top w:val="none" w:sz="0" w:space="0" w:color="auto"/>
        <w:left w:val="none" w:sz="0" w:space="0" w:color="auto"/>
        <w:bottom w:val="none" w:sz="0" w:space="0" w:color="auto"/>
        <w:right w:val="none" w:sz="0" w:space="0" w:color="auto"/>
      </w:divBdr>
    </w:div>
    <w:div w:id="845290493">
      <w:bodyDiv w:val="1"/>
      <w:marLeft w:val="0"/>
      <w:marRight w:val="0"/>
      <w:marTop w:val="0"/>
      <w:marBottom w:val="0"/>
      <w:divBdr>
        <w:top w:val="none" w:sz="0" w:space="0" w:color="auto"/>
        <w:left w:val="none" w:sz="0" w:space="0" w:color="auto"/>
        <w:bottom w:val="none" w:sz="0" w:space="0" w:color="auto"/>
        <w:right w:val="none" w:sz="0" w:space="0" w:color="auto"/>
      </w:divBdr>
    </w:div>
    <w:div w:id="908732327">
      <w:bodyDiv w:val="1"/>
      <w:marLeft w:val="0"/>
      <w:marRight w:val="0"/>
      <w:marTop w:val="0"/>
      <w:marBottom w:val="0"/>
      <w:divBdr>
        <w:top w:val="none" w:sz="0" w:space="0" w:color="auto"/>
        <w:left w:val="none" w:sz="0" w:space="0" w:color="auto"/>
        <w:bottom w:val="none" w:sz="0" w:space="0" w:color="auto"/>
        <w:right w:val="none" w:sz="0" w:space="0" w:color="auto"/>
      </w:divBdr>
    </w:div>
    <w:div w:id="927929466">
      <w:bodyDiv w:val="1"/>
      <w:marLeft w:val="0"/>
      <w:marRight w:val="0"/>
      <w:marTop w:val="0"/>
      <w:marBottom w:val="0"/>
      <w:divBdr>
        <w:top w:val="none" w:sz="0" w:space="0" w:color="auto"/>
        <w:left w:val="none" w:sz="0" w:space="0" w:color="auto"/>
        <w:bottom w:val="none" w:sz="0" w:space="0" w:color="auto"/>
        <w:right w:val="none" w:sz="0" w:space="0" w:color="auto"/>
      </w:divBdr>
    </w:div>
    <w:div w:id="928586713">
      <w:bodyDiv w:val="1"/>
      <w:marLeft w:val="0"/>
      <w:marRight w:val="0"/>
      <w:marTop w:val="0"/>
      <w:marBottom w:val="0"/>
      <w:divBdr>
        <w:top w:val="none" w:sz="0" w:space="0" w:color="auto"/>
        <w:left w:val="none" w:sz="0" w:space="0" w:color="auto"/>
        <w:bottom w:val="none" w:sz="0" w:space="0" w:color="auto"/>
        <w:right w:val="none" w:sz="0" w:space="0" w:color="auto"/>
      </w:divBdr>
    </w:div>
    <w:div w:id="943459693">
      <w:bodyDiv w:val="1"/>
      <w:marLeft w:val="0"/>
      <w:marRight w:val="0"/>
      <w:marTop w:val="0"/>
      <w:marBottom w:val="0"/>
      <w:divBdr>
        <w:top w:val="none" w:sz="0" w:space="0" w:color="auto"/>
        <w:left w:val="none" w:sz="0" w:space="0" w:color="auto"/>
        <w:bottom w:val="none" w:sz="0" w:space="0" w:color="auto"/>
        <w:right w:val="none" w:sz="0" w:space="0" w:color="auto"/>
      </w:divBdr>
    </w:div>
    <w:div w:id="949819448">
      <w:bodyDiv w:val="1"/>
      <w:marLeft w:val="0"/>
      <w:marRight w:val="0"/>
      <w:marTop w:val="0"/>
      <w:marBottom w:val="0"/>
      <w:divBdr>
        <w:top w:val="none" w:sz="0" w:space="0" w:color="auto"/>
        <w:left w:val="none" w:sz="0" w:space="0" w:color="auto"/>
        <w:bottom w:val="none" w:sz="0" w:space="0" w:color="auto"/>
        <w:right w:val="none" w:sz="0" w:space="0" w:color="auto"/>
      </w:divBdr>
    </w:div>
    <w:div w:id="975111661">
      <w:bodyDiv w:val="1"/>
      <w:marLeft w:val="0"/>
      <w:marRight w:val="0"/>
      <w:marTop w:val="0"/>
      <w:marBottom w:val="0"/>
      <w:divBdr>
        <w:top w:val="none" w:sz="0" w:space="0" w:color="auto"/>
        <w:left w:val="none" w:sz="0" w:space="0" w:color="auto"/>
        <w:bottom w:val="none" w:sz="0" w:space="0" w:color="auto"/>
        <w:right w:val="none" w:sz="0" w:space="0" w:color="auto"/>
      </w:divBdr>
    </w:div>
    <w:div w:id="1067073013">
      <w:bodyDiv w:val="1"/>
      <w:marLeft w:val="0"/>
      <w:marRight w:val="0"/>
      <w:marTop w:val="0"/>
      <w:marBottom w:val="0"/>
      <w:divBdr>
        <w:top w:val="none" w:sz="0" w:space="0" w:color="auto"/>
        <w:left w:val="none" w:sz="0" w:space="0" w:color="auto"/>
        <w:bottom w:val="none" w:sz="0" w:space="0" w:color="auto"/>
        <w:right w:val="none" w:sz="0" w:space="0" w:color="auto"/>
      </w:divBdr>
    </w:div>
    <w:div w:id="1093622588">
      <w:bodyDiv w:val="1"/>
      <w:marLeft w:val="0"/>
      <w:marRight w:val="0"/>
      <w:marTop w:val="0"/>
      <w:marBottom w:val="0"/>
      <w:divBdr>
        <w:top w:val="none" w:sz="0" w:space="0" w:color="auto"/>
        <w:left w:val="none" w:sz="0" w:space="0" w:color="auto"/>
        <w:bottom w:val="none" w:sz="0" w:space="0" w:color="auto"/>
        <w:right w:val="none" w:sz="0" w:space="0" w:color="auto"/>
      </w:divBdr>
    </w:div>
    <w:div w:id="1100685302">
      <w:bodyDiv w:val="1"/>
      <w:marLeft w:val="0"/>
      <w:marRight w:val="0"/>
      <w:marTop w:val="0"/>
      <w:marBottom w:val="0"/>
      <w:divBdr>
        <w:top w:val="none" w:sz="0" w:space="0" w:color="auto"/>
        <w:left w:val="none" w:sz="0" w:space="0" w:color="auto"/>
        <w:bottom w:val="none" w:sz="0" w:space="0" w:color="auto"/>
        <w:right w:val="none" w:sz="0" w:space="0" w:color="auto"/>
      </w:divBdr>
    </w:div>
    <w:div w:id="1106509906">
      <w:bodyDiv w:val="1"/>
      <w:marLeft w:val="0"/>
      <w:marRight w:val="0"/>
      <w:marTop w:val="0"/>
      <w:marBottom w:val="0"/>
      <w:divBdr>
        <w:top w:val="none" w:sz="0" w:space="0" w:color="auto"/>
        <w:left w:val="none" w:sz="0" w:space="0" w:color="auto"/>
        <w:bottom w:val="none" w:sz="0" w:space="0" w:color="auto"/>
        <w:right w:val="none" w:sz="0" w:space="0" w:color="auto"/>
      </w:divBdr>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
    <w:div w:id="1324700869">
      <w:bodyDiv w:val="1"/>
      <w:marLeft w:val="0"/>
      <w:marRight w:val="0"/>
      <w:marTop w:val="0"/>
      <w:marBottom w:val="0"/>
      <w:divBdr>
        <w:top w:val="none" w:sz="0" w:space="0" w:color="auto"/>
        <w:left w:val="none" w:sz="0" w:space="0" w:color="auto"/>
        <w:bottom w:val="none" w:sz="0" w:space="0" w:color="auto"/>
        <w:right w:val="none" w:sz="0" w:space="0" w:color="auto"/>
      </w:divBdr>
    </w:div>
    <w:div w:id="1335110446">
      <w:bodyDiv w:val="1"/>
      <w:marLeft w:val="0"/>
      <w:marRight w:val="0"/>
      <w:marTop w:val="0"/>
      <w:marBottom w:val="0"/>
      <w:divBdr>
        <w:top w:val="none" w:sz="0" w:space="0" w:color="auto"/>
        <w:left w:val="none" w:sz="0" w:space="0" w:color="auto"/>
        <w:bottom w:val="none" w:sz="0" w:space="0" w:color="auto"/>
        <w:right w:val="none" w:sz="0" w:space="0" w:color="auto"/>
      </w:divBdr>
    </w:div>
    <w:div w:id="1365328822">
      <w:bodyDiv w:val="1"/>
      <w:marLeft w:val="0"/>
      <w:marRight w:val="0"/>
      <w:marTop w:val="0"/>
      <w:marBottom w:val="0"/>
      <w:divBdr>
        <w:top w:val="none" w:sz="0" w:space="0" w:color="auto"/>
        <w:left w:val="none" w:sz="0" w:space="0" w:color="auto"/>
        <w:bottom w:val="none" w:sz="0" w:space="0" w:color="auto"/>
        <w:right w:val="none" w:sz="0" w:space="0" w:color="auto"/>
      </w:divBdr>
    </w:div>
    <w:div w:id="1376153725">
      <w:bodyDiv w:val="1"/>
      <w:marLeft w:val="0"/>
      <w:marRight w:val="0"/>
      <w:marTop w:val="0"/>
      <w:marBottom w:val="0"/>
      <w:divBdr>
        <w:top w:val="none" w:sz="0" w:space="0" w:color="auto"/>
        <w:left w:val="none" w:sz="0" w:space="0" w:color="auto"/>
        <w:bottom w:val="none" w:sz="0" w:space="0" w:color="auto"/>
        <w:right w:val="none" w:sz="0" w:space="0" w:color="auto"/>
      </w:divBdr>
    </w:div>
    <w:div w:id="1397822073">
      <w:bodyDiv w:val="1"/>
      <w:marLeft w:val="0"/>
      <w:marRight w:val="0"/>
      <w:marTop w:val="0"/>
      <w:marBottom w:val="0"/>
      <w:divBdr>
        <w:top w:val="none" w:sz="0" w:space="0" w:color="auto"/>
        <w:left w:val="none" w:sz="0" w:space="0" w:color="auto"/>
        <w:bottom w:val="none" w:sz="0" w:space="0" w:color="auto"/>
        <w:right w:val="none" w:sz="0" w:space="0" w:color="auto"/>
      </w:divBdr>
    </w:div>
    <w:div w:id="1400009190">
      <w:bodyDiv w:val="1"/>
      <w:marLeft w:val="0"/>
      <w:marRight w:val="0"/>
      <w:marTop w:val="0"/>
      <w:marBottom w:val="0"/>
      <w:divBdr>
        <w:top w:val="none" w:sz="0" w:space="0" w:color="auto"/>
        <w:left w:val="none" w:sz="0" w:space="0" w:color="auto"/>
        <w:bottom w:val="none" w:sz="0" w:space="0" w:color="auto"/>
        <w:right w:val="none" w:sz="0" w:space="0" w:color="auto"/>
      </w:divBdr>
    </w:div>
    <w:div w:id="1409116891">
      <w:bodyDiv w:val="1"/>
      <w:marLeft w:val="0"/>
      <w:marRight w:val="0"/>
      <w:marTop w:val="0"/>
      <w:marBottom w:val="0"/>
      <w:divBdr>
        <w:top w:val="none" w:sz="0" w:space="0" w:color="auto"/>
        <w:left w:val="none" w:sz="0" w:space="0" w:color="auto"/>
        <w:bottom w:val="none" w:sz="0" w:space="0" w:color="auto"/>
        <w:right w:val="none" w:sz="0" w:space="0" w:color="auto"/>
      </w:divBdr>
    </w:div>
    <w:div w:id="1454787049">
      <w:bodyDiv w:val="1"/>
      <w:marLeft w:val="0"/>
      <w:marRight w:val="0"/>
      <w:marTop w:val="0"/>
      <w:marBottom w:val="0"/>
      <w:divBdr>
        <w:top w:val="none" w:sz="0" w:space="0" w:color="auto"/>
        <w:left w:val="none" w:sz="0" w:space="0" w:color="auto"/>
        <w:bottom w:val="none" w:sz="0" w:space="0" w:color="auto"/>
        <w:right w:val="none" w:sz="0" w:space="0" w:color="auto"/>
      </w:divBdr>
    </w:div>
    <w:div w:id="1494833409">
      <w:bodyDiv w:val="1"/>
      <w:marLeft w:val="0"/>
      <w:marRight w:val="0"/>
      <w:marTop w:val="0"/>
      <w:marBottom w:val="0"/>
      <w:divBdr>
        <w:top w:val="none" w:sz="0" w:space="0" w:color="auto"/>
        <w:left w:val="none" w:sz="0" w:space="0" w:color="auto"/>
        <w:bottom w:val="none" w:sz="0" w:space="0" w:color="auto"/>
        <w:right w:val="none" w:sz="0" w:space="0" w:color="auto"/>
      </w:divBdr>
    </w:div>
    <w:div w:id="1520969674">
      <w:bodyDiv w:val="1"/>
      <w:marLeft w:val="0"/>
      <w:marRight w:val="0"/>
      <w:marTop w:val="0"/>
      <w:marBottom w:val="0"/>
      <w:divBdr>
        <w:top w:val="none" w:sz="0" w:space="0" w:color="auto"/>
        <w:left w:val="none" w:sz="0" w:space="0" w:color="auto"/>
        <w:bottom w:val="none" w:sz="0" w:space="0" w:color="auto"/>
        <w:right w:val="none" w:sz="0" w:space="0" w:color="auto"/>
      </w:divBdr>
    </w:div>
    <w:div w:id="1550260837">
      <w:bodyDiv w:val="1"/>
      <w:marLeft w:val="0"/>
      <w:marRight w:val="0"/>
      <w:marTop w:val="0"/>
      <w:marBottom w:val="0"/>
      <w:divBdr>
        <w:top w:val="none" w:sz="0" w:space="0" w:color="auto"/>
        <w:left w:val="none" w:sz="0" w:space="0" w:color="auto"/>
        <w:bottom w:val="none" w:sz="0" w:space="0" w:color="auto"/>
        <w:right w:val="none" w:sz="0" w:space="0" w:color="auto"/>
      </w:divBdr>
    </w:div>
    <w:div w:id="1609047577">
      <w:bodyDiv w:val="1"/>
      <w:marLeft w:val="0"/>
      <w:marRight w:val="0"/>
      <w:marTop w:val="0"/>
      <w:marBottom w:val="0"/>
      <w:divBdr>
        <w:top w:val="none" w:sz="0" w:space="0" w:color="auto"/>
        <w:left w:val="none" w:sz="0" w:space="0" w:color="auto"/>
        <w:bottom w:val="none" w:sz="0" w:space="0" w:color="auto"/>
        <w:right w:val="none" w:sz="0" w:space="0" w:color="auto"/>
      </w:divBdr>
    </w:div>
    <w:div w:id="1678340685">
      <w:bodyDiv w:val="1"/>
      <w:marLeft w:val="0"/>
      <w:marRight w:val="0"/>
      <w:marTop w:val="0"/>
      <w:marBottom w:val="0"/>
      <w:divBdr>
        <w:top w:val="none" w:sz="0" w:space="0" w:color="auto"/>
        <w:left w:val="none" w:sz="0" w:space="0" w:color="auto"/>
        <w:bottom w:val="none" w:sz="0" w:space="0" w:color="auto"/>
        <w:right w:val="none" w:sz="0" w:space="0" w:color="auto"/>
      </w:divBdr>
    </w:div>
    <w:div w:id="1695569503">
      <w:bodyDiv w:val="1"/>
      <w:marLeft w:val="0"/>
      <w:marRight w:val="0"/>
      <w:marTop w:val="0"/>
      <w:marBottom w:val="0"/>
      <w:divBdr>
        <w:top w:val="none" w:sz="0" w:space="0" w:color="auto"/>
        <w:left w:val="none" w:sz="0" w:space="0" w:color="auto"/>
        <w:bottom w:val="none" w:sz="0" w:space="0" w:color="auto"/>
        <w:right w:val="none" w:sz="0" w:space="0" w:color="auto"/>
      </w:divBdr>
    </w:div>
    <w:div w:id="1721401239">
      <w:bodyDiv w:val="1"/>
      <w:marLeft w:val="0"/>
      <w:marRight w:val="0"/>
      <w:marTop w:val="0"/>
      <w:marBottom w:val="0"/>
      <w:divBdr>
        <w:top w:val="none" w:sz="0" w:space="0" w:color="auto"/>
        <w:left w:val="none" w:sz="0" w:space="0" w:color="auto"/>
        <w:bottom w:val="none" w:sz="0" w:space="0" w:color="auto"/>
        <w:right w:val="none" w:sz="0" w:space="0" w:color="auto"/>
      </w:divBdr>
      <w:divsChild>
        <w:div w:id="1557468197">
          <w:marLeft w:val="0"/>
          <w:marRight w:val="0"/>
          <w:marTop w:val="0"/>
          <w:marBottom w:val="0"/>
          <w:divBdr>
            <w:top w:val="none" w:sz="0" w:space="0" w:color="auto"/>
            <w:left w:val="none" w:sz="0" w:space="0" w:color="auto"/>
            <w:bottom w:val="none" w:sz="0" w:space="0" w:color="auto"/>
            <w:right w:val="none" w:sz="0" w:space="0" w:color="auto"/>
          </w:divBdr>
          <w:divsChild>
            <w:div w:id="7542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26518">
      <w:bodyDiv w:val="1"/>
      <w:marLeft w:val="0"/>
      <w:marRight w:val="0"/>
      <w:marTop w:val="0"/>
      <w:marBottom w:val="0"/>
      <w:divBdr>
        <w:top w:val="none" w:sz="0" w:space="0" w:color="auto"/>
        <w:left w:val="none" w:sz="0" w:space="0" w:color="auto"/>
        <w:bottom w:val="none" w:sz="0" w:space="0" w:color="auto"/>
        <w:right w:val="none" w:sz="0" w:space="0" w:color="auto"/>
      </w:divBdr>
    </w:div>
    <w:div w:id="1822118299">
      <w:bodyDiv w:val="1"/>
      <w:marLeft w:val="0"/>
      <w:marRight w:val="0"/>
      <w:marTop w:val="0"/>
      <w:marBottom w:val="0"/>
      <w:divBdr>
        <w:top w:val="none" w:sz="0" w:space="0" w:color="auto"/>
        <w:left w:val="none" w:sz="0" w:space="0" w:color="auto"/>
        <w:bottom w:val="none" w:sz="0" w:space="0" w:color="auto"/>
        <w:right w:val="none" w:sz="0" w:space="0" w:color="auto"/>
      </w:divBdr>
    </w:div>
    <w:div w:id="1830518325">
      <w:bodyDiv w:val="1"/>
      <w:marLeft w:val="0"/>
      <w:marRight w:val="0"/>
      <w:marTop w:val="0"/>
      <w:marBottom w:val="0"/>
      <w:divBdr>
        <w:top w:val="none" w:sz="0" w:space="0" w:color="auto"/>
        <w:left w:val="none" w:sz="0" w:space="0" w:color="auto"/>
        <w:bottom w:val="none" w:sz="0" w:space="0" w:color="auto"/>
        <w:right w:val="none" w:sz="0" w:space="0" w:color="auto"/>
      </w:divBdr>
    </w:div>
    <w:div w:id="1862236346">
      <w:bodyDiv w:val="1"/>
      <w:marLeft w:val="0"/>
      <w:marRight w:val="0"/>
      <w:marTop w:val="0"/>
      <w:marBottom w:val="0"/>
      <w:divBdr>
        <w:top w:val="none" w:sz="0" w:space="0" w:color="auto"/>
        <w:left w:val="none" w:sz="0" w:space="0" w:color="auto"/>
        <w:bottom w:val="none" w:sz="0" w:space="0" w:color="auto"/>
        <w:right w:val="none" w:sz="0" w:space="0" w:color="auto"/>
      </w:divBdr>
    </w:div>
    <w:div w:id="1877112810">
      <w:bodyDiv w:val="1"/>
      <w:marLeft w:val="0"/>
      <w:marRight w:val="0"/>
      <w:marTop w:val="0"/>
      <w:marBottom w:val="0"/>
      <w:divBdr>
        <w:top w:val="none" w:sz="0" w:space="0" w:color="auto"/>
        <w:left w:val="none" w:sz="0" w:space="0" w:color="auto"/>
        <w:bottom w:val="none" w:sz="0" w:space="0" w:color="auto"/>
        <w:right w:val="none" w:sz="0" w:space="0" w:color="auto"/>
      </w:divBdr>
    </w:div>
    <w:div w:id="1893150219">
      <w:bodyDiv w:val="1"/>
      <w:marLeft w:val="0"/>
      <w:marRight w:val="0"/>
      <w:marTop w:val="0"/>
      <w:marBottom w:val="0"/>
      <w:divBdr>
        <w:top w:val="none" w:sz="0" w:space="0" w:color="auto"/>
        <w:left w:val="none" w:sz="0" w:space="0" w:color="auto"/>
        <w:bottom w:val="none" w:sz="0" w:space="0" w:color="auto"/>
        <w:right w:val="none" w:sz="0" w:space="0" w:color="auto"/>
      </w:divBdr>
    </w:div>
    <w:div w:id="1965501872">
      <w:bodyDiv w:val="1"/>
      <w:marLeft w:val="0"/>
      <w:marRight w:val="0"/>
      <w:marTop w:val="0"/>
      <w:marBottom w:val="0"/>
      <w:divBdr>
        <w:top w:val="none" w:sz="0" w:space="0" w:color="auto"/>
        <w:left w:val="none" w:sz="0" w:space="0" w:color="auto"/>
        <w:bottom w:val="none" w:sz="0" w:space="0" w:color="auto"/>
        <w:right w:val="none" w:sz="0" w:space="0" w:color="auto"/>
      </w:divBdr>
    </w:div>
    <w:div w:id="2027436908">
      <w:bodyDiv w:val="1"/>
      <w:marLeft w:val="0"/>
      <w:marRight w:val="0"/>
      <w:marTop w:val="0"/>
      <w:marBottom w:val="0"/>
      <w:divBdr>
        <w:top w:val="none" w:sz="0" w:space="0" w:color="auto"/>
        <w:left w:val="none" w:sz="0" w:space="0" w:color="auto"/>
        <w:bottom w:val="none" w:sz="0" w:space="0" w:color="auto"/>
        <w:right w:val="none" w:sz="0" w:space="0" w:color="auto"/>
      </w:divBdr>
    </w:div>
    <w:div w:id="2054378082">
      <w:bodyDiv w:val="1"/>
      <w:marLeft w:val="0"/>
      <w:marRight w:val="0"/>
      <w:marTop w:val="0"/>
      <w:marBottom w:val="0"/>
      <w:divBdr>
        <w:top w:val="none" w:sz="0" w:space="0" w:color="auto"/>
        <w:left w:val="none" w:sz="0" w:space="0" w:color="auto"/>
        <w:bottom w:val="none" w:sz="0" w:space="0" w:color="auto"/>
        <w:right w:val="none" w:sz="0" w:space="0" w:color="auto"/>
      </w:divBdr>
    </w:div>
    <w:div w:id="2066290369">
      <w:bodyDiv w:val="1"/>
      <w:marLeft w:val="0"/>
      <w:marRight w:val="0"/>
      <w:marTop w:val="0"/>
      <w:marBottom w:val="0"/>
      <w:divBdr>
        <w:top w:val="none" w:sz="0" w:space="0" w:color="auto"/>
        <w:left w:val="none" w:sz="0" w:space="0" w:color="auto"/>
        <w:bottom w:val="none" w:sz="0" w:space="0" w:color="auto"/>
        <w:right w:val="none" w:sz="0" w:space="0" w:color="auto"/>
      </w:divBdr>
    </w:div>
    <w:div w:id="2117627488">
      <w:bodyDiv w:val="1"/>
      <w:marLeft w:val="0"/>
      <w:marRight w:val="0"/>
      <w:marTop w:val="0"/>
      <w:marBottom w:val="0"/>
      <w:divBdr>
        <w:top w:val="none" w:sz="0" w:space="0" w:color="auto"/>
        <w:left w:val="none" w:sz="0" w:space="0" w:color="auto"/>
        <w:bottom w:val="none" w:sz="0" w:space="0" w:color="auto"/>
        <w:right w:val="none" w:sz="0" w:space="0" w:color="auto"/>
      </w:divBdr>
      <w:divsChild>
        <w:div w:id="1303271230">
          <w:marLeft w:val="0"/>
          <w:marRight w:val="0"/>
          <w:marTop w:val="0"/>
          <w:marBottom w:val="0"/>
          <w:divBdr>
            <w:top w:val="none" w:sz="0" w:space="0" w:color="auto"/>
            <w:left w:val="none" w:sz="0" w:space="0" w:color="auto"/>
            <w:bottom w:val="none" w:sz="0" w:space="0" w:color="auto"/>
            <w:right w:val="none" w:sz="0" w:space="0" w:color="auto"/>
          </w:divBdr>
        </w:div>
      </w:divsChild>
    </w:div>
    <w:div w:id="2133084962">
      <w:bodyDiv w:val="1"/>
      <w:marLeft w:val="0"/>
      <w:marRight w:val="0"/>
      <w:marTop w:val="0"/>
      <w:marBottom w:val="0"/>
      <w:divBdr>
        <w:top w:val="none" w:sz="0" w:space="0" w:color="auto"/>
        <w:left w:val="none" w:sz="0" w:space="0" w:color="auto"/>
        <w:bottom w:val="none" w:sz="0" w:space="0" w:color="auto"/>
        <w:right w:val="none" w:sz="0" w:space="0" w:color="auto"/>
      </w:divBdr>
    </w:div>
    <w:div w:id="213701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B0600-0788-4402-A959-8A5726029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910</Words>
  <Characters>5192</Characters>
  <Application>Microsoft Office Word</Application>
  <DocSecurity>0</DocSecurity>
  <Lines>43</Lines>
  <Paragraphs>12</Paragraphs>
  <ScaleCrop>false</ScaleCrop>
  <HeadingPairs>
    <vt:vector size="6" baseType="variant">
      <vt:variant>
        <vt:lpstr>Title</vt:lpstr>
      </vt:variant>
      <vt:variant>
        <vt:i4>1</vt:i4>
      </vt:variant>
      <vt:variant>
        <vt:lpstr>Τίτλος</vt:lpstr>
      </vt:variant>
      <vt:variant>
        <vt:i4>1</vt:i4>
      </vt:variant>
      <vt:variant>
        <vt:lpstr>Titel</vt:lpstr>
      </vt:variant>
      <vt:variant>
        <vt:i4>1</vt:i4>
      </vt:variant>
    </vt:vector>
  </HeadingPairs>
  <TitlesOfParts>
    <vt:vector size="3" baseType="lpstr">
      <vt:lpstr/>
      <vt:lpstr/>
      <vt:lpstr> </vt:lpstr>
    </vt:vector>
  </TitlesOfParts>
  <Company>YPEX</Company>
  <LinksUpToDate>false</LinksUpToDate>
  <CharactersWithSpaces>6090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YPEX</dc:creator>
  <cp:lastModifiedBy>PC_User</cp:lastModifiedBy>
  <cp:revision>3</cp:revision>
  <cp:lastPrinted>2021-01-14T12:50:00Z</cp:lastPrinted>
  <dcterms:created xsi:type="dcterms:W3CDTF">2021-01-14T12:50:00Z</dcterms:created>
  <dcterms:modified xsi:type="dcterms:W3CDTF">2021-01-14T12:53:00Z</dcterms:modified>
</cp:coreProperties>
</file>