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1869369"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640264" w:rsidRPr="000345B7" w:rsidRDefault="00273E08" w:rsidP="00251444">
            <w:pPr>
              <w:jc w:val="both"/>
              <w:rPr>
                <w:b/>
                <w:bCs/>
              </w:rPr>
            </w:pPr>
            <w:r w:rsidRPr="000345B7">
              <w:rPr>
                <w:b/>
                <w:bCs/>
              </w:rPr>
              <w:t>ΘΕΜΑ:</w:t>
            </w:r>
            <w:r w:rsidR="00476934" w:rsidRPr="000345B7">
              <w:rPr>
                <w:b/>
                <w:bCs/>
              </w:rPr>
              <w:t xml:space="preserve">  «Ινστιτούτο Οικονομικών Ε</w:t>
            </w:r>
            <w:r w:rsidR="000345B7">
              <w:rPr>
                <w:b/>
                <w:bCs/>
              </w:rPr>
              <w:t>ρευνών –</w:t>
            </w:r>
            <w:r w:rsidR="000345B7" w:rsidRPr="000345B7">
              <w:rPr>
                <w:b/>
                <w:bCs/>
              </w:rPr>
              <w:t xml:space="preserve"> </w:t>
            </w:r>
            <w:r w:rsidR="000345B7">
              <w:rPr>
                <w:b/>
                <w:bCs/>
              </w:rPr>
              <w:t>Υψηλά τα ποσοστά εργασίας βραχυπρόθεσμης χρονικής διάρκειας στα Κρατίδια της Γερμανίας</w:t>
            </w:r>
            <w:r w:rsidR="00640264" w:rsidRPr="000345B7">
              <w:rPr>
                <w:b/>
                <w:bCs/>
              </w:rPr>
              <w:t>»</w:t>
            </w:r>
          </w:p>
          <w:p w:rsidR="004D744C" w:rsidRPr="000345B7" w:rsidRDefault="000345B7" w:rsidP="000345B7">
            <w:pPr>
              <w:jc w:val="both"/>
            </w:pPr>
            <w:r>
              <w:rPr>
                <w:b/>
                <w:bCs/>
              </w:rPr>
              <w:t>ΣΧΕΤ :  Έγγραφό μας ΑΠΦ 8.01.2021</w:t>
            </w:r>
          </w:p>
          <w:p w:rsidR="00D16D2F" w:rsidRDefault="00D16D2F" w:rsidP="00251444">
            <w:pPr>
              <w:jc w:val="both"/>
              <w:rPr>
                <w:bCs/>
              </w:rPr>
            </w:pPr>
          </w:p>
          <w:p w:rsidR="000345B7" w:rsidRDefault="000345B7" w:rsidP="00251444">
            <w:pPr>
              <w:jc w:val="both"/>
              <w:rPr>
                <w:bCs/>
              </w:rPr>
            </w:pPr>
            <w:r>
              <w:rPr>
                <w:bCs/>
              </w:rPr>
              <w:t xml:space="preserve">Ενδιαφέροντα στοιχεία για τις επικρατούσες συνθήκες στην γερμανική αγορά εργασίας περιέχονται στην καθιερωμένη μηνιαία έκθεση του Ινστιτούτου Οικονομικών Ερευνών </w:t>
            </w:r>
            <w:r w:rsidR="00B053CC">
              <w:rPr>
                <w:bCs/>
              </w:rPr>
              <w:t>και ιδιαίτερα για το καθεστώς παροχής εργασίας με βραχυπρόθεσμη χρονική διάρκεια. Πιο αναλυτικά συνοψίζονται στα ακόλουθα:</w:t>
            </w:r>
          </w:p>
          <w:p w:rsidR="00B053CC" w:rsidRDefault="00B053CC" w:rsidP="00251444">
            <w:pPr>
              <w:jc w:val="both"/>
              <w:rPr>
                <w:bCs/>
              </w:rPr>
            </w:pPr>
          </w:p>
          <w:p w:rsidR="00B053CC" w:rsidRPr="00B053CC" w:rsidRDefault="00B053CC" w:rsidP="00251444">
            <w:pPr>
              <w:jc w:val="both"/>
              <w:rPr>
                <w:bCs/>
              </w:rPr>
            </w:pPr>
            <w:r>
              <w:rPr>
                <w:bCs/>
              </w:rPr>
              <w:t xml:space="preserve">Το Κρατίδιο της </w:t>
            </w:r>
            <w:proofErr w:type="spellStart"/>
            <w:r>
              <w:rPr>
                <w:bCs/>
              </w:rPr>
              <w:t>Εσσης</w:t>
            </w:r>
            <w:proofErr w:type="spellEnd"/>
            <w:r>
              <w:rPr>
                <w:bCs/>
              </w:rPr>
              <w:t xml:space="preserve"> κατέχει το μεγαλύτερο ποσοστό εργαζομένων με καθεστώς εργασίας βραχυπρόθεσμης χρονικής διάρκειας. Ποσοστό 7,4% των εργαζομένων ή 196,000 εργαζόμενοι που υπόκεινται στο σύστημα των εισφορών κοινωνικής ασφάλισης απασχολούνται με καθεστώς εργασίας περιορισμένης χρονικής διάρκειας. Στη συνέχεια ακολουθούν τα Κρατίδια της </w:t>
            </w:r>
            <w:proofErr w:type="spellStart"/>
            <w:r>
              <w:rPr>
                <w:bCs/>
              </w:rPr>
              <w:t>Βάδης</w:t>
            </w:r>
            <w:proofErr w:type="spellEnd"/>
            <w:r>
              <w:rPr>
                <w:bCs/>
              </w:rPr>
              <w:t xml:space="preserve">-Βυρτεμβέργης με ποσοστό 6,7% ή 321,000 εργαζόμενους και η Κάτω Σαξονία με την πόλη της Βρέμης, με ποσοστό 6,6% ή 223,000 εργαζόμενους. Σύμφωνα με τα συμπεράσματα της εν λόγω έρευνας το καθεστώς βραχυπρόθεσμης χρονικής διάρκειας είναι περισσότερο διαδεδομένο στα Κρατίδια εκείνα όπου οι τομείς της βιομηχανίας και των κατασκευών κατέχουν το μεγαλύτερο μερίδιο της συνολικής παραγωγής. Ωστόσο, η διαφορά μεταξύ των Ομόσπονδων Κρατιδίων έχει μειωθεί σημαντικά τους τελευταίους μήνες μετά και την ανάκαμψη της </w:t>
            </w:r>
            <w:r w:rsidR="00936539">
              <w:rPr>
                <w:bCs/>
              </w:rPr>
              <w:t xml:space="preserve">μεταποίησης, σύμφωνα με  εκτιμήσεις </w:t>
            </w:r>
            <w:r w:rsidR="00935929">
              <w:rPr>
                <w:bCs/>
              </w:rPr>
              <w:t xml:space="preserve"> </w:t>
            </w:r>
            <w:r>
              <w:rPr>
                <w:bCs/>
              </w:rPr>
              <w:t>του εμπειρογνώμονα για την αγορά εργασίας του Ινστιτούτου Οικονομικών Ερευνών</w:t>
            </w:r>
            <w:r w:rsidRPr="00B053CC">
              <w:rPr>
                <w:bCs/>
              </w:rPr>
              <w:t xml:space="preserve">, </w:t>
            </w:r>
            <w:r>
              <w:rPr>
                <w:bCs/>
              </w:rPr>
              <w:t xml:space="preserve">κ. </w:t>
            </w:r>
            <w:r>
              <w:rPr>
                <w:bCs/>
                <w:lang w:val="de-DE"/>
              </w:rPr>
              <w:t>Sebastian</w:t>
            </w:r>
            <w:r w:rsidRPr="00B053CC">
              <w:rPr>
                <w:bCs/>
              </w:rPr>
              <w:t xml:space="preserve"> </w:t>
            </w:r>
            <w:r>
              <w:rPr>
                <w:bCs/>
                <w:lang w:val="de-DE"/>
              </w:rPr>
              <w:t>Link</w:t>
            </w:r>
            <w:r w:rsidRPr="00B053CC">
              <w:rPr>
                <w:bCs/>
              </w:rPr>
              <w:t>.</w:t>
            </w:r>
          </w:p>
          <w:p w:rsidR="00B053CC" w:rsidRPr="00936539" w:rsidRDefault="00B053CC" w:rsidP="00251444">
            <w:pPr>
              <w:jc w:val="both"/>
              <w:rPr>
                <w:bCs/>
              </w:rPr>
            </w:pPr>
          </w:p>
          <w:p w:rsidR="00B053CC" w:rsidRDefault="00B053CC" w:rsidP="00251444">
            <w:pPr>
              <w:jc w:val="both"/>
              <w:rPr>
                <w:bCs/>
              </w:rPr>
            </w:pPr>
            <w:r>
              <w:rPr>
                <w:bCs/>
              </w:rPr>
              <w:t>Για τα υπόλοιπα Κρατίδια η κατάσταση έχει ως εξής:</w:t>
            </w:r>
          </w:p>
          <w:p w:rsidR="00B053CC" w:rsidRDefault="00B053CC" w:rsidP="00251444">
            <w:pPr>
              <w:jc w:val="both"/>
              <w:rPr>
                <w:bCs/>
              </w:rPr>
            </w:pPr>
          </w:p>
          <w:p w:rsidR="00B053CC" w:rsidRDefault="00816E7D" w:rsidP="00251444">
            <w:pPr>
              <w:jc w:val="both"/>
              <w:rPr>
                <w:bCs/>
              </w:rPr>
            </w:pPr>
            <w:r>
              <w:rPr>
                <w:bCs/>
              </w:rPr>
              <w:t xml:space="preserve">Το Κρατίδιο </w:t>
            </w:r>
            <w:proofErr w:type="spellStart"/>
            <w:r>
              <w:rPr>
                <w:bCs/>
              </w:rPr>
              <w:t>Σλέσβιχ</w:t>
            </w:r>
            <w:proofErr w:type="spellEnd"/>
            <w:r>
              <w:rPr>
                <w:bCs/>
              </w:rPr>
              <w:t>-</w:t>
            </w:r>
            <w:proofErr w:type="spellStart"/>
            <w:r>
              <w:rPr>
                <w:bCs/>
              </w:rPr>
              <w:t>Χολστάϊν</w:t>
            </w:r>
            <w:proofErr w:type="spellEnd"/>
            <w:r>
              <w:rPr>
                <w:bCs/>
              </w:rPr>
              <w:t xml:space="preserve"> και η περιοχή του Αμβούργου κατέχει ποσοστό 6,5% ή 132,000 εργαζόμενους, η Σαξονία με ποσοστό 6,2% ή 101,000 εργαζόμενους, η Βαυαρία με ποσοστό 4,9% ή 348,000 εργαζόμενους, η Ρηνανία-Παλατινάτο και </w:t>
            </w:r>
            <w:proofErr w:type="spellStart"/>
            <w:r>
              <w:rPr>
                <w:bCs/>
              </w:rPr>
              <w:t>Σάαρλαντ</w:t>
            </w:r>
            <w:proofErr w:type="spellEnd"/>
            <w:r>
              <w:rPr>
                <w:bCs/>
              </w:rPr>
              <w:t xml:space="preserve"> με 4,8% ή 89,000 εργαζόμενους, το Βερολίνο – </w:t>
            </w:r>
            <w:proofErr w:type="spellStart"/>
            <w:r>
              <w:rPr>
                <w:bCs/>
              </w:rPr>
              <w:t>Βραδεμβούργο</w:t>
            </w:r>
            <w:proofErr w:type="spellEnd"/>
            <w:r>
              <w:rPr>
                <w:bCs/>
              </w:rPr>
              <w:t xml:space="preserve"> και Μεκλεμβούργο-Δυτική Πομερανία με ποσοστό 4,6% ή 138,000 εργαζόμενους και Σαξονία-Ανχαλτ και Θουριγγία με 4,1% ή 66,000 εργαζόμενους.</w:t>
            </w:r>
          </w:p>
          <w:p w:rsidR="00816E7D" w:rsidRDefault="00816E7D" w:rsidP="00251444">
            <w:pPr>
              <w:jc w:val="both"/>
              <w:rPr>
                <w:bCs/>
              </w:rPr>
            </w:pPr>
          </w:p>
          <w:p w:rsidR="00816E7D" w:rsidRPr="00816E7D" w:rsidRDefault="00816E7D" w:rsidP="00251444">
            <w:pPr>
              <w:jc w:val="both"/>
              <w:rPr>
                <w:bCs/>
              </w:rPr>
            </w:pPr>
            <w:r>
              <w:rPr>
                <w:bCs/>
              </w:rPr>
              <w:t>Τα στοιχεία, όπως προαναφέρθηκε, προέρχονται από αναφορές και εκτιμήσεις 7.000 επιχειρήσεων που συμμετείχαν στην σχετική έρευνα του Ινστιτούτου Οικονομικών Ερευνών (</w:t>
            </w:r>
            <w:r>
              <w:rPr>
                <w:bCs/>
                <w:lang w:val="de-DE"/>
              </w:rPr>
              <w:t>Business</w:t>
            </w:r>
            <w:r w:rsidRPr="00816E7D">
              <w:rPr>
                <w:bCs/>
              </w:rPr>
              <w:t xml:space="preserve"> </w:t>
            </w:r>
            <w:proofErr w:type="spellStart"/>
            <w:r>
              <w:rPr>
                <w:bCs/>
                <w:lang w:val="de-DE"/>
              </w:rPr>
              <w:t>iFo</w:t>
            </w:r>
            <w:proofErr w:type="spellEnd"/>
            <w:r w:rsidRPr="00816E7D">
              <w:rPr>
                <w:bCs/>
              </w:rPr>
              <w:t>)</w:t>
            </w:r>
            <w:r>
              <w:rPr>
                <w:bCs/>
              </w:rPr>
              <w:t xml:space="preserve"> για τον μήνα Δεκέμβριο 2020.</w:t>
            </w:r>
          </w:p>
          <w:p w:rsidR="00702FCB" w:rsidRDefault="00702FCB" w:rsidP="00251444">
            <w:pPr>
              <w:jc w:val="both"/>
              <w:rPr>
                <w:bCs/>
              </w:rPr>
            </w:pPr>
          </w:p>
          <w:p w:rsidR="00816E7D" w:rsidRDefault="00816E7D" w:rsidP="00251444">
            <w:pPr>
              <w:jc w:val="both"/>
              <w:rPr>
                <w:bCs/>
              </w:rPr>
            </w:pPr>
          </w:p>
          <w:p w:rsidR="00816E7D" w:rsidRDefault="00816E7D" w:rsidP="00251444">
            <w:pPr>
              <w:jc w:val="both"/>
              <w:rPr>
                <w:bCs/>
              </w:rPr>
            </w:pPr>
          </w:p>
          <w:p w:rsidR="00816E7D" w:rsidRDefault="00816E7D" w:rsidP="00251444">
            <w:pPr>
              <w:jc w:val="both"/>
              <w:rPr>
                <w:bCs/>
              </w:rPr>
            </w:pPr>
          </w:p>
          <w:p w:rsidR="00816E7D" w:rsidRDefault="00816E7D" w:rsidP="00251444">
            <w:pPr>
              <w:jc w:val="both"/>
              <w:rPr>
                <w:bCs/>
              </w:rPr>
            </w:pPr>
          </w:p>
          <w:p w:rsidR="00816E7D" w:rsidRDefault="00816E7D" w:rsidP="00251444">
            <w:pPr>
              <w:jc w:val="both"/>
              <w:rPr>
                <w:bCs/>
              </w:rPr>
            </w:pPr>
          </w:p>
          <w:p w:rsidR="00816E7D" w:rsidRDefault="00816E7D" w:rsidP="00251444">
            <w:pPr>
              <w:jc w:val="both"/>
              <w:rPr>
                <w:bCs/>
              </w:rPr>
            </w:pPr>
          </w:p>
          <w:p w:rsidR="00816E7D" w:rsidRPr="000345B7" w:rsidRDefault="00816E7D" w:rsidP="00251444">
            <w:pPr>
              <w:jc w:val="both"/>
              <w:rPr>
                <w:bCs/>
              </w:rPr>
            </w:pPr>
          </w:p>
          <w:p w:rsidR="000345B7" w:rsidRPr="000345B7" w:rsidRDefault="000345B7" w:rsidP="000345B7">
            <w:pPr>
              <w:jc w:val="both"/>
              <w:rPr>
                <w:bCs/>
              </w:rPr>
            </w:pPr>
            <w:r w:rsidRPr="000345B7">
              <w:rPr>
                <w:bCs/>
              </w:rPr>
              <w:t xml:space="preserve">                                                                                            </w:t>
            </w:r>
          </w:p>
          <w:p w:rsidR="000345B7" w:rsidRPr="000345B7" w:rsidRDefault="000345B7" w:rsidP="000345B7">
            <w:pPr>
              <w:jc w:val="both"/>
              <w:rPr>
                <w:bCs/>
              </w:rPr>
            </w:pPr>
            <w:r w:rsidRPr="000345B7">
              <w:rPr>
                <w:bCs/>
              </w:rPr>
              <w:lastRenderedPageBreak/>
              <w:t xml:space="preserve">                                                                 </w:t>
            </w:r>
          </w:p>
          <w:p w:rsidR="005732E4" w:rsidRPr="000345B7" w:rsidRDefault="000345B7" w:rsidP="00251444">
            <w:pPr>
              <w:jc w:val="both"/>
              <w:rPr>
                <w:bCs/>
              </w:rPr>
            </w:pPr>
            <w:r w:rsidRPr="000345B7">
              <w:rPr>
                <w:bCs/>
              </w:rPr>
              <w:t xml:space="preserve">                                     </w:t>
            </w:r>
            <w:r w:rsidR="001E3241">
              <w:rPr>
                <w:bCs/>
              </w:rPr>
              <w:t xml:space="preserve">                       </w:t>
            </w:r>
          </w:p>
          <w:p w:rsidR="00650051" w:rsidRPr="000345B7" w:rsidRDefault="000345B7" w:rsidP="00251444">
            <w:pPr>
              <w:jc w:val="both"/>
              <w:rPr>
                <w:bCs/>
              </w:rPr>
            </w:pPr>
            <w:r w:rsidRPr="000345B7">
              <w:rPr>
                <w:noProof/>
                <w:lang w:val="en-US" w:eastAsia="en-US"/>
              </w:rPr>
              <w:drawing>
                <wp:inline distT="0" distB="0" distL="0" distR="0">
                  <wp:extent cx="5621655" cy="8030845"/>
                  <wp:effectExtent l="19050" t="0" r="0" b="0"/>
                  <wp:docPr id="2" name="Picture 2" descr="infographic, ifo estimates of short tim work by regions,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graphic, ifo estimates of short tim work by regions, december 2020"/>
                          <pic:cNvPicPr>
                            <a:picLocks noChangeAspect="1" noChangeArrowheads="1"/>
                          </pic:cNvPicPr>
                        </pic:nvPicPr>
                        <pic:blipFill>
                          <a:blip r:embed="rId10"/>
                          <a:srcRect/>
                          <a:stretch>
                            <a:fillRect/>
                          </a:stretch>
                        </pic:blipFill>
                        <pic:spPr bwMode="auto">
                          <a:xfrm>
                            <a:off x="0" y="0"/>
                            <a:ext cx="5621655" cy="8030845"/>
                          </a:xfrm>
                          <a:prstGeom prst="rect">
                            <a:avLst/>
                          </a:prstGeom>
                          <a:noFill/>
                          <a:ln w="9525">
                            <a:noFill/>
                            <a:miter lim="800000"/>
                            <a:headEnd/>
                            <a:tailEnd/>
                          </a:ln>
                        </pic:spPr>
                      </pic:pic>
                    </a:graphicData>
                  </a:graphic>
                </wp:inline>
              </w:drawing>
            </w: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0345B7" w:rsidRPr="000345B7" w:rsidRDefault="000345B7" w:rsidP="00251444">
            <w:pPr>
              <w:jc w:val="both"/>
              <w:rPr>
                <w:bCs/>
                <w:lang w:val="de-DE"/>
              </w:rPr>
            </w:pPr>
          </w:p>
          <w:p w:rsidR="00791C52" w:rsidRPr="000345B7" w:rsidRDefault="009F6DA0" w:rsidP="000345B7">
            <w:pPr>
              <w:jc w:val="both"/>
              <w:rPr>
                <w:bCs/>
              </w:rPr>
            </w:pPr>
            <w:r w:rsidRPr="000345B7">
              <w:rPr>
                <w:bCs/>
              </w:rPr>
              <w:t xml:space="preserve">                                        </w:t>
            </w:r>
            <w:r w:rsidR="00791C52" w:rsidRPr="000345B7">
              <w:rPr>
                <w:bCs/>
              </w:rPr>
              <w:t xml:space="preserve">                           </w:t>
            </w:r>
            <w:r w:rsidR="00FC55D8" w:rsidRPr="000345B7">
              <w:rPr>
                <w:bCs/>
              </w:rPr>
              <w:t xml:space="preserve">      </w:t>
            </w:r>
          </w:p>
          <w:p w:rsidR="009F6DA0" w:rsidRPr="000345B7" w:rsidRDefault="009F6DA0" w:rsidP="009F6DA0">
            <w:pPr>
              <w:jc w:val="both"/>
              <w:rPr>
                <w:b/>
                <w:bCs/>
              </w:rPr>
            </w:pPr>
          </w:p>
          <w:p w:rsidR="00F152C7" w:rsidRPr="000345B7" w:rsidRDefault="00F152C7" w:rsidP="00251444">
            <w:pPr>
              <w:jc w:val="both"/>
              <w:rPr>
                <w:b/>
                <w:bCs/>
              </w:rPr>
            </w:pPr>
          </w:p>
          <w:p w:rsidR="00273E08" w:rsidRPr="000345B7" w:rsidRDefault="00273E08" w:rsidP="00251444">
            <w:pPr>
              <w:jc w:val="both"/>
              <w:rPr>
                <w:bCs/>
              </w:rPr>
            </w:pPr>
          </w:p>
          <w:p w:rsidR="00273E08" w:rsidRPr="000345B7" w:rsidRDefault="00273E08" w:rsidP="00776CF9">
            <w:pPr>
              <w:jc w:val="both"/>
              <w:rPr>
                <w:bCs/>
              </w:rPr>
            </w:pPr>
            <w:r w:rsidRPr="000345B7">
              <w:rPr>
                <w:bCs/>
              </w:rPr>
              <w:t xml:space="preserve">                                                                          </w:t>
            </w:r>
          </w:p>
          <w:p w:rsidR="00273E08" w:rsidRPr="000345B7" w:rsidRDefault="00273E08" w:rsidP="00251444">
            <w:pPr>
              <w:jc w:val="both"/>
              <w:rPr>
                <w:bCs/>
              </w:rPr>
            </w:pPr>
            <w:r w:rsidRPr="000345B7">
              <w:rPr>
                <w:bCs/>
              </w:rPr>
              <w:t xml:space="preserve">  </w:t>
            </w:r>
          </w:p>
          <w:p w:rsidR="00273E08" w:rsidRPr="000345B7" w:rsidRDefault="00273E08" w:rsidP="00251444">
            <w:pPr>
              <w:jc w:val="both"/>
              <w:rPr>
                <w:bCs/>
              </w:rPr>
            </w:pPr>
          </w:p>
          <w:p w:rsidR="00273E08" w:rsidRPr="000345B7" w:rsidRDefault="00273E08" w:rsidP="00251444">
            <w:pPr>
              <w:jc w:val="both"/>
              <w:rPr>
                <w:bCs/>
              </w:rPr>
            </w:pPr>
          </w:p>
        </w:tc>
      </w:tr>
      <w:tr w:rsidR="00273E08" w:rsidRPr="00A27916" w:rsidTr="00273E08">
        <w:trPr>
          <w:gridAfter w:val="1"/>
          <w:wAfter w:w="305" w:type="dxa"/>
        </w:trPr>
        <w:tc>
          <w:tcPr>
            <w:tcW w:w="8946" w:type="dxa"/>
          </w:tcPr>
          <w:p w:rsidR="003C7B44" w:rsidRPr="008D3360" w:rsidRDefault="003C7B44" w:rsidP="00F152C7">
            <w:pPr>
              <w:rPr>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1"/>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B8E" w:rsidRDefault="00D46B8E" w:rsidP="0014093E">
      <w:r>
        <w:separator/>
      </w:r>
    </w:p>
  </w:endnote>
  <w:endnote w:type="continuationSeparator" w:id="1">
    <w:p w:rsidR="00D46B8E" w:rsidRDefault="00D46B8E"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8E" w:rsidRPr="00AF2A95" w:rsidRDefault="00D46B8E" w:rsidP="0074232E">
    <w:pPr>
      <w:pStyle w:val="Footer"/>
      <w:jc w:val="right"/>
      <w:rPr>
        <w:b/>
        <w:sz w:val="2"/>
        <w:szCs w:val="2"/>
      </w:rPr>
    </w:pPr>
    <w:r>
      <w:rPr>
        <w:b/>
      </w:rPr>
      <w:t>_____________________________________________________________________</w:t>
    </w:r>
  </w:p>
  <w:p w:rsidR="00D46B8E" w:rsidRDefault="00D46B8E" w:rsidP="0074232E">
    <w:pPr>
      <w:pStyle w:val="Footer"/>
      <w:jc w:val="center"/>
      <w:rPr>
        <w:b/>
        <w:sz w:val="20"/>
        <w:szCs w:val="20"/>
      </w:rPr>
    </w:pPr>
    <w:r>
      <w:rPr>
        <w:b/>
        <w:sz w:val="20"/>
        <w:szCs w:val="20"/>
      </w:rPr>
      <w:t>ΑΔΙΑΒΑΘΜΗΤΟ - ΚΑΝΟΝΙΚΟ</w:t>
    </w:r>
  </w:p>
  <w:p w:rsidR="00D46B8E" w:rsidRPr="00914D01" w:rsidRDefault="00D46B8E" w:rsidP="00BA26FF">
    <w:pPr>
      <w:ind w:right="42"/>
      <w:jc w:val="right"/>
    </w:pPr>
    <w:bookmarkStart w:id="0" w:name="_GoBack"/>
    <w:bookmarkEnd w:id="0"/>
    <w:r>
      <w:rPr>
        <w:sz w:val="20"/>
        <w:szCs w:val="20"/>
      </w:rPr>
      <w:t xml:space="preserve">Σελίδα </w:t>
    </w:r>
    <w:r w:rsidR="005F2A4D">
      <w:rPr>
        <w:sz w:val="20"/>
        <w:szCs w:val="20"/>
      </w:rPr>
      <w:fldChar w:fldCharType="begin"/>
    </w:r>
    <w:r>
      <w:rPr>
        <w:sz w:val="20"/>
        <w:szCs w:val="20"/>
      </w:rPr>
      <w:instrText xml:space="preserve"> PAGE </w:instrText>
    </w:r>
    <w:r w:rsidR="005F2A4D">
      <w:rPr>
        <w:sz w:val="20"/>
        <w:szCs w:val="20"/>
      </w:rPr>
      <w:fldChar w:fldCharType="separate"/>
    </w:r>
    <w:r w:rsidR="001E3241">
      <w:rPr>
        <w:noProof/>
        <w:sz w:val="20"/>
        <w:szCs w:val="20"/>
      </w:rPr>
      <w:t>1</w:t>
    </w:r>
    <w:r w:rsidR="005F2A4D">
      <w:rPr>
        <w:sz w:val="20"/>
        <w:szCs w:val="20"/>
      </w:rPr>
      <w:fldChar w:fldCharType="end"/>
    </w:r>
    <w:r>
      <w:rPr>
        <w:sz w:val="20"/>
        <w:szCs w:val="20"/>
      </w:rPr>
      <w:t xml:space="preserve"> από </w:t>
    </w:r>
    <w:r w:rsidR="005F2A4D">
      <w:rPr>
        <w:sz w:val="20"/>
        <w:szCs w:val="20"/>
      </w:rPr>
      <w:fldChar w:fldCharType="begin"/>
    </w:r>
    <w:r>
      <w:rPr>
        <w:sz w:val="20"/>
        <w:szCs w:val="20"/>
      </w:rPr>
      <w:instrText xml:space="preserve"> NUMPAGES  </w:instrText>
    </w:r>
    <w:r w:rsidR="005F2A4D">
      <w:rPr>
        <w:sz w:val="20"/>
        <w:szCs w:val="20"/>
      </w:rPr>
      <w:fldChar w:fldCharType="separate"/>
    </w:r>
    <w:r w:rsidR="001E3241">
      <w:rPr>
        <w:noProof/>
        <w:sz w:val="20"/>
        <w:szCs w:val="20"/>
      </w:rPr>
      <w:t>3</w:t>
    </w:r>
    <w:r w:rsidR="005F2A4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B8E" w:rsidRDefault="00D46B8E" w:rsidP="0014093E">
      <w:r>
        <w:separator/>
      </w:r>
    </w:p>
  </w:footnote>
  <w:footnote w:type="continuationSeparator" w:id="1">
    <w:p w:rsidR="00D46B8E" w:rsidRDefault="00D46B8E"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1617"/>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45B7"/>
    <w:rsid w:val="00035DD0"/>
    <w:rsid w:val="00036D98"/>
    <w:rsid w:val="000407DB"/>
    <w:rsid w:val="00044329"/>
    <w:rsid w:val="0004464E"/>
    <w:rsid w:val="00045AB6"/>
    <w:rsid w:val="00046FB3"/>
    <w:rsid w:val="00047F9D"/>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A75A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949"/>
    <w:rsid w:val="00133613"/>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241"/>
    <w:rsid w:val="001E37FC"/>
    <w:rsid w:val="001E503D"/>
    <w:rsid w:val="001E52C4"/>
    <w:rsid w:val="001E599F"/>
    <w:rsid w:val="001E7E13"/>
    <w:rsid w:val="001F19DC"/>
    <w:rsid w:val="001F1CAB"/>
    <w:rsid w:val="001F6149"/>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5E2"/>
    <w:rsid w:val="002A41B9"/>
    <w:rsid w:val="002A58D9"/>
    <w:rsid w:val="002B0A19"/>
    <w:rsid w:val="002B16A1"/>
    <w:rsid w:val="002B33F3"/>
    <w:rsid w:val="002B5317"/>
    <w:rsid w:val="002C0BC9"/>
    <w:rsid w:val="002C14F7"/>
    <w:rsid w:val="002C2A34"/>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7153"/>
    <w:rsid w:val="002F0DDC"/>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3CE"/>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367"/>
    <w:rsid w:val="003A52B0"/>
    <w:rsid w:val="003A556C"/>
    <w:rsid w:val="003A6E9C"/>
    <w:rsid w:val="003A7803"/>
    <w:rsid w:val="003B104B"/>
    <w:rsid w:val="003B1436"/>
    <w:rsid w:val="003B2695"/>
    <w:rsid w:val="003B427C"/>
    <w:rsid w:val="003B4A3A"/>
    <w:rsid w:val="003C0C89"/>
    <w:rsid w:val="003C2372"/>
    <w:rsid w:val="003C3E93"/>
    <w:rsid w:val="003C442D"/>
    <w:rsid w:val="003C457E"/>
    <w:rsid w:val="003C4C0E"/>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712"/>
    <w:rsid w:val="00453D91"/>
    <w:rsid w:val="00455CE5"/>
    <w:rsid w:val="004564E9"/>
    <w:rsid w:val="0045757E"/>
    <w:rsid w:val="0046078D"/>
    <w:rsid w:val="00460A75"/>
    <w:rsid w:val="00461304"/>
    <w:rsid w:val="00462BB7"/>
    <w:rsid w:val="00463474"/>
    <w:rsid w:val="00463947"/>
    <w:rsid w:val="00464A34"/>
    <w:rsid w:val="00465F1F"/>
    <w:rsid w:val="00466749"/>
    <w:rsid w:val="00471220"/>
    <w:rsid w:val="004724DC"/>
    <w:rsid w:val="00472689"/>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288D"/>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2A4D"/>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E7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57DF"/>
    <w:rsid w:val="00855B76"/>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7BF"/>
    <w:rsid w:val="008A20B6"/>
    <w:rsid w:val="008A4B78"/>
    <w:rsid w:val="008A56F4"/>
    <w:rsid w:val="008A58DD"/>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5929"/>
    <w:rsid w:val="00936539"/>
    <w:rsid w:val="00937059"/>
    <w:rsid w:val="00937A92"/>
    <w:rsid w:val="00940278"/>
    <w:rsid w:val="00941119"/>
    <w:rsid w:val="00941C0F"/>
    <w:rsid w:val="00943690"/>
    <w:rsid w:val="00943CAA"/>
    <w:rsid w:val="00944491"/>
    <w:rsid w:val="009459E4"/>
    <w:rsid w:val="00946BB2"/>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547BD"/>
    <w:rsid w:val="00A5501D"/>
    <w:rsid w:val="00A55CB8"/>
    <w:rsid w:val="00A57153"/>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37BB"/>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34CE"/>
    <w:rsid w:val="00C26710"/>
    <w:rsid w:val="00C26D0E"/>
    <w:rsid w:val="00C26DB6"/>
    <w:rsid w:val="00C27729"/>
    <w:rsid w:val="00C27F9A"/>
    <w:rsid w:val="00C32140"/>
    <w:rsid w:val="00C3352D"/>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537AD"/>
    <w:rsid w:val="00E5386B"/>
    <w:rsid w:val="00E5407A"/>
    <w:rsid w:val="00E55CD0"/>
    <w:rsid w:val="00E55EBE"/>
    <w:rsid w:val="00E60BDD"/>
    <w:rsid w:val="00E61868"/>
    <w:rsid w:val="00E6350E"/>
    <w:rsid w:val="00E64F37"/>
    <w:rsid w:val="00E65E5B"/>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D7B"/>
    <w:rsid w:val="00EB69F4"/>
    <w:rsid w:val="00EB6B97"/>
    <w:rsid w:val="00EC044F"/>
    <w:rsid w:val="00EC045A"/>
    <w:rsid w:val="00EC10A7"/>
    <w:rsid w:val="00EC2100"/>
    <w:rsid w:val="00EC23E0"/>
    <w:rsid w:val="00EC2704"/>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CCB33-94D8-444D-BE3C-60169FAA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2248</Characters>
  <Application>Microsoft Office Word</Application>
  <DocSecurity>0</DocSecurity>
  <Lines>18</Lines>
  <Paragraphs>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2021-01-11T10:03:00Z</cp:lastPrinted>
  <dcterms:created xsi:type="dcterms:W3CDTF">2021-01-11T10:23:00Z</dcterms:created>
  <dcterms:modified xsi:type="dcterms:W3CDTF">2021-01-11T10:23:00Z</dcterms:modified>
</cp:coreProperties>
</file>