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2F46C3" w:rsidTr="00425A21">
        <w:tc>
          <w:tcPr>
            <w:tcW w:w="3802" w:type="dxa"/>
          </w:tcPr>
          <w:p w:rsidR="0066141C" w:rsidRPr="00616005" w:rsidRDefault="0066141C" w:rsidP="00117C7C">
            <w:pPr>
              <w:jc w:val="center"/>
              <w:rPr>
                <w:b/>
              </w:rPr>
            </w:pPr>
            <w:r w:rsidRPr="00BE5E73">
              <w:rPr>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84919121" r:id="rId9"/>
              </w:object>
            </w:r>
          </w:p>
        </w:tc>
        <w:tc>
          <w:tcPr>
            <w:tcW w:w="5648" w:type="dxa"/>
          </w:tcPr>
          <w:p w:rsidR="0066141C" w:rsidRDefault="0066141C" w:rsidP="0066141C">
            <w:pPr>
              <w:ind w:left="1850"/>
              <w:rPr>
                <w:b/>
              </w:rPr>
            </w:pPr>
          </w:p>
        </w:tc>
      </w:tr>
      <w:tr w:rsidR="00236C82" w:rsidRPr="002F46C3" w:rsidTr="0066141C">
        <w:tc>
          <w:tcPr>
            <w:tcW w:w="3802" w:type="dxa"/>
          </w:tcPr>
          <w:p w:rsidR="00236C82" w:rsidRPr="002F46C3" w:rsidRDefault="00236C82" w:rsidP="00782E71">
            <w:pPr>
              <w:jc w:val="center"/>
              <w:rPr>
                <w:b/>
              </w:rPr>
            </w:pPr>
            <w:r w:rsidRPr="00616005">
              <w:rPr>
                <w:b/>
              </w:rPr>
              <w:t>Π</w:t>
            </w:r>
            <w:r w:rsidRPr="002F46C3">
              <w:rPr>
                <w:b/>
              </w:rPr>
              <w:t>ΡΕΣΒΕΙΑ ΤΗΣ ΕΛΛΑΔΟΣ ΒΕΡΟΛΙΝΟ</w:t>
            </w:r>
          </w:p>
          <w:p w:rsidR="00236C82" w:rsidRPr="002F46C3" w:rsidRDefault="00236C82" w:rsidP="00782E71">
            <w:pPr>
              <w:jc w:val="center"/>
              <w:rPr>
                <w:b/>
              </w:rPr>
            </w:pPr>
            <w:r w:rsidRPr="002F46C3">
              <w:rPr>
                <w:b/>
              </w:rPr>
              <w:t>ΓΡΑΦΕΙΟ ΟΙΚΟΝΟΜΙΚΩΝ ΚΑΙ ΕΜΠΟΡΙΚΩΝ ΥΠΟΘΕΣΕΩΝ</w:t>
            </w:r>
          </w:p>
        </w:tc>
        <w:tc>
          <w:tcPr>
            <w:tcW w:w="5648" w:type="dxa"/>
          </w:tcPr>
          <w:p w:rsidR="00341856" w:rsidRDefault="00236C82" w:rsidP="00341856">
            <w:pPr>
              <w:ind w:left="1850"/>
              <w:jc w:val="right"/>
              <w:rPr>
                <w:b/>
              </w:rPr>
            </w:pPr>
            <w:r>
              <w:rPr>
                <w:b/>
              </w:rPr>
              <w:t>ΑΔΙΑΒΑΘΜΗΤΟ</w:t>
            </w:r>
            <w:r w:rsidR="00341856">
              <w:rPr>
                <w:b/>
              </w:rPr>
              <w:t xml:space="preserve"> </w:t>
            </w:r>
          </w:p>
          <w:p w:rsidR="00236C82" w:rsidRPr="00940FB2" w:rsidRDefault="008F4923" w:rsidP="008F4923">
            <w:pPr>
              <w:ind w:left="1850"/>
              <w:rPr>
                <w:b/>
              </w:rPr>
            </w:pPr>
            <w:r>
              <w:rPr>
                <w:b/>
              </w:rPr>
              <w:t xml:space="preserve">                </w:t>
            </w:r>
            <w:r w:rsidR="00940FB2">
              <w:rPr>
                <w:b/>
              </w:rPr>
              <w:t xml:space="preserve">              </w:t>
            </w:r>
            <w:r w:rsidR="006D12B6">
              <w:rPr>
                <w:b/>
              </w:rPr>
              <w:t xml:space="preserve">       </w:t>
            </w:r>
            <w:r w:rsidR="00940FB2">
              <w:rPr>
                <w:b/>
              </w:rPr>
              <w:t xml:space="preserve">ΚΑΝΟΝΙΚΟ </w:t>
            </w:r>
          </w:p>
          <w:tbl>
            <w:tblPr>
              <w:tblW w:w="3825" w:type="dxa"/>
              <w:tblInd w:w="1730" w:type="dxa"/>
              <w:tblLayout w:type="fixed"/>
              <w:tblLook w:val="04A0"/>
            </w:tblPr>
            <w:tblGrid>
              <w:gridCol w:w="3825"/>
            </w:tblGrid>
            <w:tr w:rsidR="00236C82" w:rsidRPr="002F46C3" w:rsidTr="00782E71">
              <w:tc>
                <w:tcPr>
                  <w:tcW w:w="3827" w:type="dxa"/>
                </w:tcPr>
                <w:p w:rsidR="00AB1595" w:rsidRDefault="00AB1595" w:rsidP="00552C22"/>
                <w:p w:rsidR="00E17A33" w:rsidRDefault="00E17A33" w:rsidP="00552C22"/>
                <w:p w:rsidR="00236C82" w:rsidRPr="008F4923" w:rsidRDefault="00236C82" w:rsidP="007C5CCB">
                  <w:r w:rsidRPr="006D231D">
                    <w:t>Βερολίνο</w:t>
                  </w:r>
                  <w:r>
                    <w:t>,</w:t>
                  </w:r>
                  <w:r w:rsidR="00D744DA" w:rsidRPr="00BD58E5">
                    <w:t xml:space="preserve"> </w:t>
                  </w:r>
                  <w:r w:rsidR="0055588D">
                    <w:rPr>
                      <w:lang w:val="en-GB"/>
                    </w:rPr>
                    <w:t xml:space="preserve"> 11 </w:t>
                  </w:r>
                  <w:r w:rsidR="00EE7690">
                    <w:rPr>
                      <w:lang w:val="en-GB"/>
                    </w:rPr>
                    <w:t>Io</w:t>
                  </w:r>
                  <w:proofErr w:type="spellStart"/>
                  <w:r w:rsidR="00EE7690">
                    <w:t>υνίου</w:t>
                  </w:r>
                  <w:proofErr w:type="spellEnd"/>
                  <w:r w:rsidR="00EE7690">
                    <w:t xml:space="preserve"> </w:t>
                  </w:r>
                  <w:r w:rsidR="008F4923">
                    <w:t>2021</w:t>
                  </w:r>
                </w:p>
              </w:tc>
            </w:tr>
            <w:tr w:rsidR="00236C82" w:rsidRPr="002F46C3" w:rsidTr="00782E71">
              <w:tc>
                <w:tcPr>
                  <w:tcW w:w="3827" w:type="dxa"/>
                </w:tcPr>
                <w:p w:rsidR="00236C82" w:rsidRPr="001F3AAE" w:rsidRDefault="006960A0" w:rsidP="007C5CCB">
                  <w:pPr>
                    <w:rPr>
                      <w:lang w:val="en-GB"/>
                    </w:rPr>
                  </w:pPr>
                  <w:r>
                    <w:t>Α.Π.:</w:t>
                  </w:r>
                  <w:r w:rsidR="00C84BA2">
                    <w:t xml:space="preserve"> </w:t>
                  </w:r>
                  <w:r w:rsidR="004F2F6C">
                    <w:t>1394</w:t>
                  </w:r>
                </w:p>
              </w:tc>
            </w:tr>
          </w:tbl>
          <w:p w:rsidR="00236C82" w:rsidRPr="002F46C3" w:rsidRDefault="00236C82" w:rsidP="00782E71">
            <w:pPr>
              <w:jc w:val="both"/>
            </w:pPr>
          </w:p>
        </w:tc>
      </w:tr>
    </w:tbl>
    <w:p w:rsidR="001F7E1F" w:rsidRDefault="001F7E1F" w:rsidP="00236C82">
      <w:pPr>
        <w:ind w:right="-694"/>
        <w:jc w:val="both"/>
        <w:rPr>
          <w:b/>
          <w:bCs/>
          <w:sz w:val="14"/>
          <w:szCs w:val="28"/>
        </w:rPr>
      </w:pPr>
    </w:p>
    <w:p w:rsidR="00AB1595" w:rsidRDefault="00AB1595" w:rsidP="00236C82">
      <w:pPr>
        <w:ind w:right="-694"/>
        <w:jc w:val="both"/>
        <w:rPr>
          <w:b/>
          <w:bCs/>
          <w:sz w:val="14"/>
          <w:szCs w:val="28"/>
        </w:rPr>
      </w:pPr>
    </w:p>
    <w:p w:rsidR="00341856" w:rsidRDefault="00341856" w:rsidP="00236C82">
      <w:pPr>
        <w:ind w:right="-694"/>
        <w:jc w:val="both"/>
        <w:rPr>
          <w:b/>
          <w:bCs/>
          <w:sz w:val="14"/>
          <w:szCs w:val="28"/>
        </w:rPr>
      </w:pPr>
    </w:p>
    <w:tbl>
      <w:tblPr>
        <w:tblW w:w="8332" w:type="dxa"/>
        <w:tblInd w:w="-193" w:type="dxa"/>
        <w:tblLook w:val="01E0"/>
      </w:tblPr>
      <w:tblGrid>
        <w:gridCol w:w="1240"/>
        <w:gridCol w:w="7092"/>
      </w:tblGrid>
      <w:tr w:rsidR="00C20C27" w:rsidRPr="002340CD" w:rsidTr="00940FB2">
        <w:tc>
          <w:tcPr>
            <w:tcW w:w="1240" w:type="dxa"/>
            <w:hideMark/>
          </w:tcPr>
          <w:p w:rsidR="00C20C27" w:rsidRPr="002E11C9" w:rsidRDefault="00C20C27" w:rsidP="002E11C9">
            <w:pPr>
              <w:tabs>
                <w:tab w:val="left" w:pos="559"/>
              </w:tabs>
              <w:rPr>
                <w:b/>
                <w:bCs/>
              </w:rPr>
            </w:pPr>
            <w:r>
              <w:rPr>
                <w:b/>
                <w:bCs/>
              </w:rPr>
              <w:t>ΠΡΟΣ:</w:t>
            </w:r>
          </w:p>
        </w:tc>
        <w:tc>
          <w:tcPr>
            <w:tcW w:w="7092" w:type="dxa"/>
            <w:hideMark/>
          </w:tcPr>
          <w:p w:rsidR="00E17A33" w:rsidRPr="006E0191" w:rsidRDefault="00E33F6B" w:rsidP="00E33F6B">
            <w:pPr>
              <w:pStyle w:val="ListParagraph"/>
              <w:numPr>
                <w:ilvl w:val="0"/>
                <w:numId w:val="32"/>
              </w:numPr>
              <w:ind w:left="321" w:hanging="283"/>
            </w:pPr>
            <w:r>
              <w:t>Β</w:t>
            </w:r>
            <w:r w:rsidR="001F3AAE">
              <w:rPr>
                <w:lang w:val="en-GB"/>
              </w:rPr>
              <w:t>3</w:t>
            </w:r>
            <w:r w:rsidR="00730445">
              <w:t xml:space="preserve"> </w:t>
            </w:r>
            <w:r w:rsidR="00711052">
              <w:t xml:space="preserve">Διεύθυνση </w:t>
            </w:r>
          </w:p>
        </w:tc>
      </w:tr>
      <w:tr w:rsidR="00C20C27" w:rsidRPr="00A27916" w:rsidTr="00940FB2">
        <w:tc>
          <w:tcPr>
            <w:tcW w:w="1240" w:type="dxa"/>
            <w:hideMark/>
          </w:tcPr>
          <w:p w:rsidR="00C20C27" w:rsidRDefault="00C20C27" w:rsidP="002E11C9">
            <w:pPr>
              <w:rPr>
                <w:b/>
                <w:bCs/>
                <w:lang w:val="en-US"/>
              </w:rPr>
            </w:pPr>
            <w:r>
              <w:rPr>
                <w:b/>
                <w:bCs/>
              </w:rPr>
              <w:t>ΚΟΙΝ.:</w:t>
            </w:r>
          </w:p>
          <w:p w:rsidR="00341856" w:rsidRDefault="00341856" w:rsidP="002E11C9">
            <w:pPr>
              <w:rPr>
                <w:b/>
                <w:bCs/>
                <w:lang w:val="en-US"/>
              </w:rPr>
            </w:pPr>
          </w:p>
          <w:p w:rsidR="00341856" w:rsidRDefault="00341856" w:rsidP="002E11C9">
            <w:pPr>
              <w:rPr>
                <w:b/>
                <w:bCs/>
                <w:lang w:val="en-US"/>
              </w:rPr>
            </w:pPr>
          </w:p>
          <w:p w:rsidR="00341856" w:rsidRDefault="00341856" w:rsidP="002E11C9">
            <w:pPr>
              <w:rPr>
                <w:b/>
                <w:bCs/>
                <w:lang w:val="en-US"/>
              </w:rPr>
            </w:pPr>
          </w:p>
          <w:p w:rsidR="00341856" w:rsidRDefault="00341856" w:rsidP="002E11C9">
            <w:pPr>
              <w:rPr>
                <w:b/>
                <w:bCs/>
                <w:lang w:val="en-US"/>
              </w:rPr>
            </w:pPr>
          </w:p>
          <w:p w:rsidR="00341856" w:rsidRDefault="00341856" w:rsidP="002E11C9">
            <w:pPr>
              <w:rPr>
                <w:b/>
                <w:bCs/>
                <w:lang w:val="en-US"/>
              </w:rPr>
            </w:pPr>
          </w:p>
          <w:p w:rsidR="00341856" w:rsidRDefault="00341856" w:rsidP="002E11C9">
            <w:pPr>
              <w:rPr>
                <w:b/>
                <w:bCs/>
                <w:lang w:val="en-US"/>
              </w:rPr>
            </w:pPr>
          </w:p>
          <w:p w:rsidR="00341856" w:rsidRDefault="00341856" w:rsidP="002E11C9">
            <w:pPr>
              <w:rPr>
                <w:b/>
                <w:bCs/>
                <w:lang w:val="en-US"/>
              </w:rPr>
            </w:pPr>
          </w:p>
          <w:p w:rsidR="00341856" w:rsidRDefault="00341856" w:rsidP="002E11C9">
            <w:pPr>
              <w:rPr>
                <w:b/>
                <w:bCs/>
                <w:lang w:val="en-US"/>
              </w:rPr>
            </w:pPr>
          </w:p>
          <w:p w:rsidR="00341856" w:rsidRDefault="00341856" w:rsidP="002E11C9">
            <w:pPr>
              <w:rPr>
                <w:b/>
                <w:bCs/>
                <w:lang w:val="en-US"/>
              </w:rPr>
            </w:pPr>
          </w:p>
          <w:p w:rsidR="00341856" w:rsidRDefault="00341856" w:rsidP="002E11C9">
            <w:pPr>
              <w:rPr>
                <w:b/>
                <w:bCs/>
                <w:lang w:val="en-US"/>
              </w:rPr>
            </w:pPr>
          </w:p>
          <w:p w:rsidR="00341856" w:rsidRPr="00341856" w:rsidRDefault="00341856" w:rsidP="002E11C9">
            <w:pPr>
              <w:rPr>
                <w:b/>
                <w:bCs/>
                <w:lang w:val="en-US"/>
              </w:rPr>
            </w:pPr>
          </w:p>
        </w:tc>
        <w:tc>
          <w:tcPr>
            <w:tcW w:w="7092" w:type="dxa"/>
            <w:hideMark/>
          </w:tcPr>
          <w:p w:rsidR="00C20C27" w:rsidRPr="00C20C27" w:rsidRDefault="00C20C27" w:rsidP="002E11C9">
            <w:pPr>
              <w:pStyle w:val="ListParagraph"/>
              <w:numPr>
                <w:ilvl w:val="0"/>
                <w:numId w:val="28"/>
              </w:numPr>
              <w:jc w:val="both"/>
              <w:rPr>
                <w:bCs/>
              </w:rPr>
            </w:pPr>
            <w:r w:rsidRPr="00C20C27">
              <w:rPr>
                <w:bCs/>
              </w:rPr>
              <w:t xml:space="preserve">Διπλ. Γραφείο κ. Πρωθυπουργού </w:t>
            </w:r>
          </w:p>
          <w:p w:rsidR="00C20C27" w:rsidRPr="00C20C27" w:rsidRDefault="00C20C27" w:rsidP="002E11C9">
            <w:pPr>
              <w:pStyle w:val="ListParagraph"/>
              <w:numPr>
                <w:ilvl w:val="0"/>
                <w:numId w:val="28"/>
              </w:numPr>
              <w:jc w:val="both"/>
              <w:rPr>
                <w:bCs/>
              </w:rPr>
            </w:pPr>
            <w:r w:rsidRPr="00C20C27">
              <w:rPr>
                <w:bCs/>
              </w:rPr>
              <w:t xml:space="preserve">Διπλ. Γραφείο κ. Υπουργού </w:t>
            </w:r>
          </w:p>
          <w:p w:rsidR="00C20C27" w:rsidRPr="00C20C27" w:rsidRDefault="00C20C27" w:rsidP="002E11C9">
            <w:pPr>
              <w:pStyle w:val="ListParagraph"/>
              <w:numPr>
                <w:ilvl w:val="0"/>
                <w:numId w:val="28"/>
              </w:numPr>
              <w:jc w:val="both"/>
              <w:rPr>
                <w:bCs/>
              </w:rPr>
            </w:pPr>
            <w:r w:rsidRPr="00C20C27">
              <w:rPr>
                <w:bCs/>
              </w:rPr>
              <w:t>Διπλ. Γραφείο κ. ΑΝΥΠΕΞ</w:t>
            </w:r>
          </w:p>
          <w:p w:rsidR="00C20C27" w:rsidRPr="00C20C27" w:rsidRDefault="00C20C27" w:rsidP="002E11C9">
            <w:pPr>
              <w:pStyle w:val="ListParagraph"/>
              <w:numPr>
                <w:ilvl w:val="0"/>
                <w:numId w:val="28"/>
              </w:numPr>
              <w:jc w:val="both"/>
              <w:rPr>
                <w:bCs/>
              </w:rPr>
            </w:pPr>
            <w:r w:rsidRPr="00C20C27">
              <w:rPr>
                <w:bCs/>
              </w:rPr>
              <w:t>Διπλ. Γραφείο ΥΦΥΠΕΞ κ. Φραγκογιάννη</w:t>
            </w:r>
          </w:p>
          <w:p w:rsidR="00C20C27" w:rsidRPr="00C20C27" w:rsidRDefault="00C20C27" w:rsidP="002E11C9">
            <w:pPr>
              <w:pStyle w:val="ListParagraph"/>
              <w:numPr>
                <w:ilvl w:val="0"/>
                <w:numId w:val="28"/>
              </w:numPr>
              <w:jc w:val="both"/>
              <w:rPr>
                <w:bCs/>
              </w:rPr>
            </w:pPr>
            <w:r w:rsidRPr="00C20C27">
              <w:rPr>
                <w:bCs/>
              </w:rPr>
              <w:t>Γραφ. κ. Γεν. Γραμματέα</w:t>
            </w:r>
          </w:p>
          <w:p w:rsidR="00C20C27" w:rsidRDefault="00C20C27" w:rsidP="002E11C9">
            <w:pPr>
              <w:pStyle w:val="ListParagraph"/>
              <w:numPr>
                <w:ilvl w:val="0"/>
                <w:numId w:val="28"/>
              </w:numPr>
              <w:jc w:val="both"/>
            </w:pPr>
            <w:r w:rsidRPr="00C20C27">
              <w:rPr>
                <w:bCs/>
              </w:rPr>
              <w:t>Γραφ. κ. Γεν. Γραμματέα ΔΟΣ &amp;Εξωστρέφειας</w:t>
            </w:r>
          </w:p>
          <w:p w:rsidR="00C20C27" w:rsidRDefault="00341856" w:rsidP="002E11C9">
            <w:pPr>
              <w:pStyle w:val="ListParagraph"/>
              <w:numPr>
                <w:ilvl w:val="0"/>
                <w:numId w:val="28"/>
              </w:numPr>
              <w:jc w:val="both"/>
            </w:pPr>
            <w:r>
              <w:t>κα Β΄ Γενική Διευθύντρια</w:t>
            </w:r>
          </w:p>
          <w:p w:rsidR="008F496A" w:rsidRDefault="006E0191" w:rsidP="005C146F">
            <w:pPr>
              <w:pStyle w:val="ListParagraph"/>
              <w:numPr>
                <w:ilvl w:val="0"/>
                <w:numId w:val="28"/>
              </w:numPr>
              <w:jc w:val="both"/>
            </w:pPr>
            <w:r>
              <w:t>Β</w:t>
            </w:r>
            <w:r w:rsidR="001F3AAE">
              <w:rPr>
                <w:lang w:val="en-GB"/>
              </w:rPr>
              <w:t xml:space="preserve">1 &amp; B2 </w:t>
            </w:r>
            <w:r w:rsidR="00711052">
              <w:t xml:space="preserve">Διευθύνσεις </w:t>
            </w:r>
          </w:p>
          <w:p w:rsidR="00A30963" w:rsidRDefault="005C146F" w:rsidP="00A30963">
            <w:pPr>
              <w:pStyle w:val="ListParagraph"/>
              <w:numPr>
                <w:ilvl w:val="0"/>
                <w:numId w:val="28"/>
              </w:numPr>
              <w:jc w:val="both"/>
            </w:pPr>
            <w:r>
              <w:t xml:space="preserve">Γενικά Προξενεία Μονάχου και </w:t>
            </w:r>
            <w:proofErr w:type="spellStart"/>
            <w:r>
              <w:t>Ντύσσελντορφ</w:t>
            </w:r>
            <w:proofErr w:type="spellEnd"/>
            <w:r>
              <w:t xml:space="preserve"> &amp; Γραφεία ΟΕΥ αυτών (μέσω ημών</w:t>
            </w:r>
            <w:r w:rsidR="00A30963">
              <w:t>)</w:t>
            </w:r>
          </w:p>
          <w:p w:rsidR="00A30963" w:rsidRDefault="00A30963" w:rsidP="00A30963">
            <w:pPr>
              <w:pStyle w:val="ListParagraph"/>
              <w:numPr>
                <w:ilvl w:val="0"/>
                <w:numId w:val="28"/>
              </w:numPr>
              <w:jc w:val="both"/>
            </w:pPr>
            <w:r>
              <w:t xml:space="preserve">Κεντρική </w:t>
            </w:r>
            <w:proofErr w:type="spellStart"/>
            <w:r>
              <w:t>Ενωση</w:t>
            </w:r>
            <w:proofErr w:type="spellEnd"/>
            <w:r>
              <w:t xml:space="preserve"> Επιμελητηρίων Ελλάδος (ΚΕΕΕ) (μέσω ημών)</w:t>
            </w:r>
          </w:p>
          <w:p w:rsidR="00A30963" w:rsidRDefault="00A30963" w:rsidP="00A30963">
            <w:pPr>
              <w:pStyle w:val="ListParagraph"/>
              <w:numPr>
                <w:ilvl w:val="0"/>
                <w:numId w:val="28"/>
              </w:numPr>
              <w:jc w:val="both"/>
            </w:pPr>
            <w:r>
              <w:t>Βιομηχανικό και Εμπορικό Επιμελητήριο Αθηνών (ΕΒΕΑ) (</w:t>
            </w:r>
            <w:proofErr w:type="spellStart"/>
            <w:r>
              <w:t>μ.η</w:t>
            </w:r>
            <w:proofErr w:type="spellEnd"/>
            <w:r>
              <w:t>.)</w:t>
            </w:r>
          </w:p>
          <w:p w:rsidR="00A30963" w:rsidRDefault="00A30963" w:rsidP="00A30963">
            <w:pPr>
              <w:pStyle w:val="ListParagraph"/>
              <w:numPr>
                <w:ilvl w:val="0"/>
                <w:numId w:val="28"/>
              </w:numPr>
              <w:jc w:val="both"/>
            </w:pPr>
            <w:r>
              <w:t>Βιομηχανικό και Εμπορικό Επιμελητήριο Θες/νίκης (ΕΒΕΘ) (</w:t>
            </w:r>
            <w:proofErr w:type="spellStart"/>
            <w:r>
              <w:t>μ.η</w:t>
            </w:r>
            <w:proofErr w:type="spellEnd"/>
            <w:r>
              <w:t>.)</w:t>
            </w:r>
          </w:p>
          <w:p w:rsidR="00A30963" w:rsidRDefault="00A30963" w:rsidP="00A30963">
            <w:pPr>
              <w:pStyle w:val="ListParagraph"/>
              <w:numPr>
                <w:ilvl w:val="0"/>
                <w:numId w:val="28"/>
              </w:numPr>
              <w:jc w:val="both"/>
            </w:pPr>
            <w:r>
              <w:t>Βιομηχανικό και Εμπορικό Επιμελητήριο Πειραιώς (ΕΒΕΠ) (</w:t>
            </w:r>
            <w:proofErr w:type="spellStart"/>
            <w:r>
              <w:t>μ.η</w:t>
            </w:r>
            <w:proofErr w:type="spellEnd"/>
            <w:r>
              <w:t>.)</w:t>
            </w:r>
          </w:p>
          <w:p w:rsidR="00A30963" w:rsidRDefault="00A30963" w:rsidP="00A30963">
            <w:pPr>
              <w:pStyle w:val="ListParagraph"/>
              <w:numPr>
                <w:ilvl w:val="0"/>
                <w:numId w:val="28"/>
              </w:numPr>
              <w:jc w:val="both"/>
            </w:pPr>
            <w:r>
              <w:t>Βιοτεχνικό Επιμελητήριο Αθηνών (ΒΕΑ) (μέσω ημών)</w:t>
            </w:r>
          </w:p>
          <w:p w:rsidR="00A30963" w:rsidRDefault="00A30963" w:rsidP="00A30963">
            <w:pPr>
              <w:pStyle w:val="ListParagraph"/>
              <w:numPr>
                <w:ilvl w:val="0"/>
                <w:numId w:val="28"/>
              </w:numPr>
              <w:jc w:val="both"/>
            </w:pPr>
            <w:r>
              <w:t>Βιοτεχνικό Επιμελητήριο Θεσσαλονίκης (ΒΕΘ) (μέσω ημών)</w:t>
            </w:r>
          </w:p>
          <w:p w:rsidR="00A30963" w:rsidRDefault="00A30963" w:rsidP="00A30963">
            <w:pPr>
              <w:pStyle w:val="ListParagraph"/>
              <w:numPr>
                <w:ilvl w:val="0"/>
                <w:numId w:val="28"/>
              </w:numPr>
              <w:jc w:val="both"/>
            </w:pPr>
            <w:r>
              <w:t>Βιοτεχνικό Επιμελητήριο Πειραιώς (ΒΕΠ) (μέσω ημών)</w:t>
            </w:r>
          </w:p>
          <w:p w:rsidR="00A30963" w:rsidRPr="008F496A" w:rsidRDefault="00A30963" w:rsidP="00A30963">
            <w:pPr>
              <w:pStyle w:val="ListParagraph"/>
              <w:numPr>
                <w:ilvl w:val="0"/>
                <w:numId w:val="28"/>
              </w:numPr>
              <w:jc w:val="both"/>
            </w:pPr>
            <w:proofErr w:type="spellStart"/>
            <w:r>
              <w:t>Ελληνό</w:t>
            </w:r>
            <w:proofErr w:type="spellEnd"/>
            <w:r>
              <w:t>-Γερμανικό Βιομηχανικό και Εμπορικό Επιμελητήριο (</w:t>
            </w:r>
            <w:proofErr w:type="spellStart"/>
            <w:r>
              <w:t>μ.η</w:t>
            </w:r>
            <w:proofErr w:type="spellEnd"/>
            <w:r>
              <w:t>.)</w:t>
            </w:r>
          </w:p>
        </w:tc>
      </w:tr>
      <w:tr w:rsidR="00C20C27" w:rsidRPr="00A27916" w:rsidTr="00940FB2">
        <w:tc>
          <w:tcPr>
            <w:tcW w:w="1240" w:type="dxa"/>
            <w:hideMark/>
          </w:tcPr>
          <w:p w:rsidR="00C20C27" w:rsidRDefault="00C20C27" w:rsidP="008F496A">
            <w:pPr>
              <w:ind w:right="201"/>
              <w:jc w:val="right"/>
              <w:rPr>
                <w:b/>
                <w:bCs/>
              </w:rPr>
            </w:pPr>
            <w:r>
              <w:rPr>
                <w:b/>
                <w:bCs/>
              </w:rPr>
              <w:t>Ε.Δ.:</w:t>
            </w:r>
          </w:p>
        </w:tc>
        <w:tc>
          <w:tcPr>
            <w:tcW w:w="7092" w:type="dxa"/>
          </w:tcPr>
          <w:p w:rsidR="00C20C27" w:rsidRDefault="00C20C27" w:rsidP="00782E71">
            <w:pPr>
              <w:jc w:val="both"/>
              <w:rPr>
                <w:bCs/>
              </w:rPr>
            </w:pPr>
            <w:r>
              <w:rPr>
                <w:bCs/>
              </w:rPr>
              <w:t>Γραφείο κ</w:t>
            </w:r>
            <w:r w:rsidR="00AB1595">
              <w:rPr>
                <w:bCs/>
              </w:rPr>
              <w:t xml:space="preserve">ας </w:t>
            </w:r>
            <w:r>
              <w:rPr>
                <w:bCs/>
              </w:rPr>
              <w:t>Πρέσβεως</w:t>
            </w:r>
          </w:p>
          <w:p w:rsidR="00AB1595" w:rsidRDefault="00AB1595" w:rsidP="00782E71">
            <w:pPr>
              <w:jc w:val="both"/>
              <w:rPr>
                <w:bCs/>
              </w:rPr>
            </w:pPr>
          </w:p>
        </w:tc>
      </w:tr>
    </w:tbl>
    <w:p w:rsidR="00057D91" w:rsidRDefault="00057D91" w:rsidP="001D50A2">
      <w:pPr>
        <w:jc w:val="both"/>
        <w:rPr>
          <w:bCs/>
        </w:rPr>
      </w:pPr>
    </w:p>
    <w:p w:rsidR="00A61B13" w:rsidRDefault="00940FB2" w:rsidP="001D50A2">
      <w:pPr>
        <w:jc w:val="both"/>
        <w:rPr>
          <w:b/>
          <w:bCs/>
          <w:i/>
        </w:rPr>
      </w:pPr>
      <w:r>
        <w:rPr>
          <w:b/>
          <w:bCs/>
        </w:rPr>
        <w:t xml:space="preserve">ΘΕΜΑ: </w:t>
      </w:r>
      <w:r w:rsidR="00A61B13">
        <w:rPr>
          <w:b/>
          <w:bCs/>
        </w:rPr>
        <w:t>«</w:t>
      </w:r>
      <w:r w:rsidR="001F3AAE">
        <w:rPr>
          <w:b/>
          <w:bCs/>
        </w:rPr>
        <w:t>Πρόγραμμα ποσοτικής χαλάρωσης της Ευρωπαϊκής Κεντρικής Τράπεζας – Ευρωπαϊκή Επιτροπή κινείται νομικά κατά της Γερμανίας</w:t>
      </w:r>
      <w:r>
        <w:rPr>
          <w:b/>
          <w:bCs/>
          <w:i/>
        </w:rPr>
        <w:t>»</w:t>
      </w:r>
    </w:p>
    <w:p w:rsidR="001F3AAE" w:rsidRDefault="001F3AAE" w:rsidP="001D50A2">
      <w:pPr>
        <w:jc w:val="both"/>
        <w:rPr>
          <w:b/>
          <w:bCs/>
          <w:i/>
        </w:rPr>
      </w:pPr>
    </w:p>
    <w:p w:rsidR="001F3AAE" w:rsidRDefault="001F3AAE" w:rsidP="001D50A2">
      <w:pPr>
        <w:jc w:val="both"/>
        <w:rPr>
          <w:bCs/>
        </w:rPr>
      </w:pPr>
      <w:r>
        <w:rPr>
          <w:bCs/>
        </w:rPr>
        <w:t>Η Ευρωπαϊκή Επιτροπή αποφάσισε να κινηθεί νομικά κατά της Γερμανίας με αφορμή το πρόγραμμα ποσοτικής χαλάρωσης της Ευρωπαϊκής Κεντρικής Τράπεζας και το βασικό ερώτημα που τίθεται στην προκειμένη περίπτωση είναι έως που μπορεί να φθάσει η δικαστική διαδικασία.</w:t>
      </w:r>
    </w:p>
    <w:p w:rsidR="001F3AAE" w:rsidRDefault="001F3AAE" w:rsidP="001D50A2">
      <w:pPr>
        <w:jc w:val="both"/>
        <w:rPr>
          <w:bCs/>
        </w:rPr>
      </w:pPr>
    </w:p>
    <w:p w:rsidR="00F43295" w:rsidRDefault="001F3AAE" w:rsidP="001D50A2">
      <w:pPr>
        <w:jc w:val="both"/>
        <w:rPr>
          <w:bCs/>
        </w:rPr>
      </w:pPr>
      <w:r>
        <w:rPr>
          <w:bCs/>
        </w:rPr>
        <w:t>Η διαδικασία για παραβάσεις της Γερμανίας ξεκίνησε εχθές με την Ευρωπαϊκή Επιτροπή να θέτει στόχο να διερευνηθεί  εάν το Γερμανικό Ομοσπονδιακό Συνταγματικό Δικαστήριο παραβίασε την ευρωπαϊκή νομοθεσία με την απόφασή του της 5</w:t>
      </w:r>
      <w:r w:rsidRPr="001F3AAE">
        <w:rPr>
          <w:bCs/>
          <w:vertAlign w:val="superscript"/>
        </w:rPr>
        <w:t>ης</w:t>
      </w:r>
      <w:r>
        <w:rPr>
          <w:bCs/>
        </w:rPr>
        <w:t xml:space="preserve"> </w:t>
      </w:r>
      <w:proofErr w:type="spellStart"/>
      <w:r>
        <w:rPr>
          <w:bCs/>
        </w:rPr>
        <w:t>Μαϊου</w:t>
      </w:r>
      <w:proofErr w:type="spellEnd"/>
      <w:r>
        <w:rPr>
          <w:bCs/>
        </w:rPr>
        <w:t xml:space="preserve"> 2020 με την οποία αμφισβήτησε τη νομιμότητα του προγράμματος ποσοτικής χαλάρωσης της ΕΚΤ, προγράμματος που είχε την έγκριση του Δικαστηρίου της Ευρωπαϊκής </w:t>
      </w:r>
      <w:proofErr w:type="spellStart"/>
      <w:r>
        <w:rPr>
          <w:bCs/>
        </w:rPr>
        <w:t>Ενωσης</w:t>
      </w:r>
      <w:proofErr w:type="spellEnd"/>
      <w:r>
        <w:rPr>
          <w:bCs/>
        </w:rPr>
        <w:t>. Μάλιστα σύμφωνα με τα επιπλέον στοιχεία που είδαν το φώς της</w:t>
      </w:r>
      <w:r w:rsidR="004F2F6C">
        <w:rPr>
          <w:bCs/>
        </w:rPr>
        <w:t xml:space="preserve"> δημοσιότητα</w:t>
      </w:r>
      <w:r>
        <w:rPr>
          <w:bCs/>
        </w:rPr>
        <w:t>ς, η Ευρωπαϊκή Επιτροπή έστειλε επιστολή γνωστοποιώντας στο Βερολίνο ότι θα ερευνήσει αν η απόφαση του γερμανικού δικαστηρίου παραβίασε τους ευρωπαϊκούς κανόνες, όπως αναφέρεται στην επιστολή της Ευρωπαϊκής Επιτροπής.</w:t>
      </w:r>
      <w:r w:rsidR="00F43295">
        <w:rPr>
          <w:bCs/>
        </w:rPr>
        <w:t xml:space="preserve"> Η συγκεκριμένη επιστολή είναι το πρώτο στάδιο της διαδικασίας η οποία μπορεί να οδηγήσει την Ευρωπαϊκή Επιτροπή να ζητήσει από το Δικαστήριο της Ευρωπαϊκής </w:t>
      </w:r>
      <w:proofErr w:type="spellStart"/>
      <w:r w:rsidR="00F43295">
        <w:rPr>
          <w:bCs/>
        </w:rPr>
        <w:t>Ενωσης</w:t>
      </w:r>
      <w:proofErr w:type="spellEnd"/>
      <w:r w:rsidR="00F43295">
        <w:rPr>
          <w:bCs/>
        </w:rPr>
        <w:t xml:space="preserve"> την επιβολή σχετικών κυρώσεων. Η Ευρωπαϊκή </w:t>
      </w:r>
      <w:r w:rsidR="00F43295">
        <w:rPr>
          <w:bCs/>
        </w:rPr>
        <w:lastRenderedPageBreak/>
        <w:t xml:space="preserve">Επιτροπή, θεματοφύλακας των συνθηκών, θεωρεί ότι η απόφαση αυτή συνιστά «σοβαρό δεδικασμένο» για την Ευρωπαϊκή </w:t>
      </w:r>
      <w:proofErr w:type="spellStart"/>
      <w:r w:rsidR="00F43295">
        <w:rPr>
          <w:bCs/>
        </w:rPr>
        <w:t>Ενωση</w:t>
      </w:r>
      <w:proofErr w:type="spellEnd"/>
      <w:r w:rsidR="00F43295">
        <w:rPr>
          <w:bCs/>
        </w:rPr>
        <w:t>.</w:t>
      </w:r>
    </w:p>
    <w:p w:rsidR="00F43295" w:rsidRDefault="00F43295" w:rsidP="001D50A2">
      <w:pPr>
        <w:jc w:val="both"/>
        <w:rPr>
          <w:bCs/>
        </w:rPr>
      </w:pPr>
    </w:p>
    <w:p w:rsidR="00F43295" w:rsidRDefault="00F43295" w:rsidP="001D50A2">
      <w:pPr>
        <w:jc w:val="both"/>
        <w:rPr>
          <w:bCs/>
        </w:rPr>
      </w:pPr>
      <w:r>
        <w:rPr>
          <w:bCs/>
        </w:rPr>
        <w:t xml:space="preserve">Οι δικαστές του δικαστηρίου της Καρλσρούης είχαν απαιτήσει με την απόφασή τους από την ΕΚΤ να επιχειρηματολογήσει για το εάν η εφαρμογή του προγράμματος ποσοτικής χαλάρωσης συνάδει με τις αρμοδιότητές της και αρνήθηκαν να συμμορφωθούν με την σχετική απόφαση του Δικαστηρίου της Ευρωπαϊκής </w:t>
      </w:r>
      <w:proofErr w:type="spellStart"/>
      <w:r>
        <w:rPr>
          <w:bCs/>
        </w:rPr>
        <w:t>Ενωσης</w:t>
      </w:r>
      <w:proofErr w:type="spellEnd"/>
      <w:r>
        <w:rPr>
          <w:bCs/>
        </w:rPr>
        <w:t xml:space="preserve"> προς το οποίο οι ίδιοι είχαν προσφύγει, απόφαση που είχε επικυρώσει το πρόγραμμα αγοράς χρέους της Τράπεζας. </w:t>
      </w:r>
    </w:p>
    <w:p w:rsidR="00F43295" w:rsidRDefault="00F43295" w:rsidP="001D50A2">
      <w:pPr>
        <w:jc w:val="both"/>
        <w:rPr>
          <w:bCs/>
        </w:rPr>
      </w:pPr>
    </w:p>
    <w:p w:rsidR="00F43295" w:rsidRDefault="00F43295" w:rsidP="001D50A2">
      <w:pPr>
        <w:jc w:val="both"/>
        <w:rPr>
          <w:bCs/>
        </w:rPr>
      </w:pPr>
      <w:r>
        <w:rPr>
          <w:bCs/>
        </w:rPr>
        <w:t xml:space="preserve">Το Γερμανικό Ομοσπονδιακό Συνταγματικό Δικαστήριο συνήλθε μετά από προσφυγή γερμανών </w:t>
      </w:r>
      <w:proofErr w:type="spellStart"/>
      <w:r>
        <w:rPr>
          <w:bCs/>
        </w:rPr>
        <w:t>ευρωσκεπτικιστών</w:t>
      </w:r>
      <w:proofErr w:type="spellEnd"/>
      <w:r>
        <w:rPr>
          <w:bCs/>
        </w:rPr>
        <w:t xml:space="preserve"> οι οποίοι υποστήριζαν ότι τ</w:t>
      </w:r>
      <w:r w:rsidR="004F2F6C">
        <w:rPr>
          <w:bCs/>
        </w:rPr>
        <w:t xml:space="preserve">ο πρόγραμμα ποσοτικής χαλάρωσης της </w:t>
      </w:r>
      <w:r>
        <w:rPr>
          <w:bCs/>
        </w:rPr>
        <w:t>ΕΚΤ είχε αρνητικές συνέπειες για ολόκληρους τομείς της γ/οικονομίας, κυρίως για τα συμφέροντα των καταθετών που πλήττονταν από τα πολύ χαμηλά επιτόκια.</w:t>
      </w:r>
    </w:p>
    <w:p w:rsidR="00F43295" w:rsidRDefault="00F43295" w:rsidP="001D50A2">
      <w:pPr>
        <w:jc w:val="both"/>
        <w:rPr>
          <w:bCs/>
        </w:rPr>
      </w:pPr>
    </w:p>
    <w:p w:rsidR="00F43295" w:rsidRDefault="00F43295" w:rsidP="001D50A2">
      <w:pPr>
        <w:jc w:val="both"/>
        <w:rPr>
          <w:bCs/>
        </w:rPr>
      </w:pPr>
      <w:r>
        <w:rPr>
          <w:bCs/>
        </w:rPr>
        <w:t>Στην ανακοίνωση που εκδόθηκε σήμερα, η Ευρωπαϊκή Επιτροπή ανακοίνωσε την αποστολή της επιστολής προειδοποίησης προς τις αρμόδιες γερμανικές Αρχές για παραβίαση των θεμελιωδών αρχών του ευρωπαϊκού δικαίου, κυρίως των αρχών της αυτονομίας, της υπεροχής, της αποτελεσματικότητας και της ενιαίας εφαρμογής του ευρωπαϊκού δικαίου, καθώς και του σεβασμού της αρμοδιότητας του Δικαστηρίου της Ε.Ε..</w:t>
      </w:r>
    </w:p>
    <w:p w:rsidR="00F43295" w:rsidRDefault="00F43295" w:rsidP="001D50A2">
      <w:pPr>
        <w:jc w:val="both"/>
        <w:rPr>
          <w:bCs/>
        </w:rPr>
      </w:pPr>
    </w:p>
    <w:p w:rsidR="007171F0" w:rsidRDefault="007171F0" w:rsidP="001D50A2">
      <w:pPr>
        <w:jc w:val="both"/>
        <w:rPr>
          <w:bCs/>
        </w:rPr>
      </w:pPr>
      <w:r>
        <w:rPr>
          <w:bCs/>
        </w:rPr>
        <w:t>Η Ευρωπαϊκή Επιτροπή θεωρεί επίσης ότι η απόφαση του γ/Συνταγματικού Δικαστηρίου συνιστά σοβαρό δεδικασμένο, τόσο για τις μελλοντικές πρακτικές του ιδίου του Συνταγματικού Δικαστηρίου, όσο και για τα δικαστήρια, τα ανώτατα και συνταγματικά δικαστήρια άλλων κρατών μελών της Ε.Ε.</w:t>
      </w:r>
    </w:p>
    <w:p w:rsidR="007171F0" w:rsidRDefault="007171F0" w:rsidP="001D50A2">
      <w:pPr>
        <w:jc w:val="both"/>
        <w:rPr>
          <w:bCs/>
        </w:rPr>
      </w:pPr>
    </w:p>
    <w:p w:rsidR="007171F0" w:rsidRDefault="007171F0" w:rsidP="001D50A2">
      <w:pPr>
        <w:jc w:val="both"/>
        <w:rPr>
          <w:bCs/>
        </w:rPr>
      </w:pPr>
      <w:r>
        <w:rPr>
          <w:bCs/>
        </w:rPr>
        <w:t xml:space="preserve">Η απόφαση του Ομοσπονδιακού Συνταγματικού Δικαστηρίου δεν πέρασε απαρατήρητη από την Πολωνία και την Ουγγαρία, χώρες που βρίσκονται στο στόχαστρο της Ευρωπαϊκής Επιτροπής για θέματα παραβιάσεων του κράτους δικαίου. Χαρακτηριστικά αναφέρεται ότι ο Πολωνός Πρωθυπουργός, </w:t>
      </w:r>
      <w:proofErr w:type="spellStart"/>
      <w:r>
        <w:rPr>
          <w:bCs/>
        </w:rPr>
        <w:t>Ματέους</w:t>
      </w:r>
      <w:proofErr w:type="spellEnd"/>
      <w:r>
        <w:rPr>
          <w:bCs/>
        </w:rPr>
        <w:t xml:space="preserve"> </w:t>
      </w:r>
      <w:proofErr w:type="spellStart"/>
      <w:r>
        <w:rPr>
          <w:bCs/>
        </w:rPr>
        <w:t>Μοραβιέτσκι</w:t>
      </w:r>
      <w:proofErr w:type="spellEnd"/>
      <w:r>
        <w:rPr>
          <w:bCs/>
        </w:rPr>
        <w:t xml:space="preserve"> είχε χαιρετίσει την απόφαση </w:t>
      </w:r>
      <w:r w:rsidR="004F2F6C">
        <w:rPr>
          <w:bCs/>
        </w:rPr>
        <w:t xml:space="preserve">του </w:t>
      </w:r>
      <w:r>
        <w:rPr>
          <w:bCs/>
        </w:rPr>
        <w:t xml:space="preserve">γ/Ομοσπονδιακού Συνταγματικού Δικαστηρίου ως «μία από τις σημαντικότερες αποφάσεις στην ιστορία της Ευρωπαϊκής </w:t>
      </w:r>
      <w:proofErr w:type="spellStart"/>
      <w:r>
        <w:rPr>
          <w:bCs/>
        </w:rPr>
        <w:t>Ενωσης</w:t>
      </w:r>
      <w:proofErr w:type="spellEnd"/>
      <w:r>
        <w:rPr>
          <w:bCs/>
        </w:rPr>
        <w:t>.</w:t>
      </w:r>
    </w:p>
    <w:p w:rsidR="007171F0" w:rsidRDefault="007171F0" w:rsidP="001D50A2">
      <w:pPr>
        <w:jc w:val="both"/>
        <w:rPr>
          <w:bCs/>
        </w:rPr>
      </w:pPr>
    </w:p>
    <w:p w:rsidR="007171F0" w:rsidRPr="001F3AAE" w:rsidRDefault="007171F0" w:rsidP="001D50A2">
      <w:pPr>
        <w:jc w:val="both"/>
        <w:rPr>
          <w:bCs/>
        </w:rPr>
      </w:pPr>
      <w:r>
        <w:rPr>
          <w:bCs/>
        </w:rPr>
        <w:t xml:space="preserve">Η Ευρωπαϊκή Επιτροπή θεωρεί ότι το γ/Συνταγματικό Δικαστήριο αφαίρεσε από το Δικαστήριο της Ευρωπαϊκής </w:t>
      </w:r>
      <w:proofErr w:type="spellStart"/>
      <w:r>
        <w:rPr>
          <w:bCs/>
        </w:rPr>
        <w:t>Ενωσης</w:t>
      </w:r>
      <w:proofErr w:type="spellEnd"/>
      <w:r>
        <w:rPr>
          <w:bCs/>
        </w:rPr>
        <w:t xml:space="preserve"> το έννομο αποτέλεσμά του στην Γερμανία, παραβιάζοντας την αρχή της υπεροχής του ευρωπαϊκού δικαίου. Επισημαίνει επίσης ότι η απόφαση του γ/Συνταγματικού Δικαστηρίου της 29</w:t>
      </w:r>
      <w:r w:rsidRPr="007171F0">
        <w:rPr>
          <w:bCs/>
          <w:vertAlign w:val="superscript"/>
        </w:rPr>
        <w:t>ης</w:t>
      </w:r>
      <w:r>
        <w:rPr>
          <w:bCs/>
        </w:rPr>
        <w:t xml:space="preserve"> Απριλίου 2021 «δεν θεραπεύει τις παραβιάσεις της αρχής της υπεροχής του ευρωπαϊκού δικαίου. Σύμφωνα με την προειδοποιητική επιστολή η Γερμανία έχει προθεσμία δύο μηνών για να απαντήσει στην Ευρωπαϊκή Επιτροπή.</w:t>
      </w:r>
    </w:p>
    <w:p w:rsidR="0055588D" w:rsidRPr="001F3AAE" w:rsidRDefault="0055588D" w:rsidP="001D50A2">
      <w:pPr>
        <w:jc w:val="both"/>
        <w:rPr>
          <w:b/>
          <w:bCs/>
          <w:i/>
        </w:rPr>
      </w:pPr>
    </w:p>
    <w:p w:rsidR="00057D91" w:rsidRDefault="00057D91" w:rsidP="001D50A2">
      <w:pPr>
        <w:jc w:val="both"/>
        <w:rPr>
          <w:bCs/>
        </w:rPr>
      </w:pPr>
      <w:r>
        <w:rPr>
          <w:bCs/>
        </w:rPr>
        <w:tab/>
      </w:r>
      <w:r>
        <w:rPr>
          <w:bCs/>
        </w:rPr>
        <w:tab/>
      </w:r>
      <w:r>
        <w:rPr>
          <w:bCs/>
        </w:rPr>
        <w:tab/>
      </w:r>
      <w:r>
        <w:rPr>
          <w:bCs/>
        </w:rPr>
        <w:tab/>
      </w:r>
      <w:r>
        <w:rPr>
          <w:bCs/>
        </w:rPr>
        <w:tab/>
        <w:t xml:space="preserve">                    </w:t>
      </w:r>
      <w:r w:rsidR="00BD6B46">
        <w:rPr>
          <w:bCs/>
        </w:rPr>
        <w:t xml:space="preserve">  </w:t>
      </w:r>
      <w:r>
        <w:rPr>
          <w:bCs/>
        </w:rPr>
        <w:t xml:space="preserve"> </w:t>
      </w:r>
    </w:p>
    <w:p w:rsidR="007171F0" w:rsidRDefault="007171F0" w:rsidP="001D50A2">
      <w:pPr>
        <w:jc w:val="both"/>
        <w:rPr>
          <w:bCs/>
        </w:rPr>
      </w:pPr>
      <w:r>
        <w:rPr>
          <w:bCs/>
        </w:rPr>
        <w:tab/>
      </w:r>
      <w:r>
        <w:rPr>
          <w:bCs/>
        </w:rPr>
        <w:tab/>
      </w:r>
      <w:r>
        <w:rPr>
          <w:bCs/>
        </w:rPr>
        <w:tab/>
      </w:r>
      <w:r>
        <w:rPr>
          <w:bCs/>
        </w:rPr>
        <w:tab/>
      </w:r>
      <w:r>
        <w:rPr>
          <w:bCs/>
        </w:rPr>
        <w:tab/>
      </w:r>
      <w:r>
        <w:rPr>
          <w:bCs/>
        </w:rPr>
        <w:tab/>
      </w:r>
      <w:r>
        <w:rPr>
          <w:bCs/>
        </w:rPr>
        <w:tab/>
      </w:r>
      <w:r>
        <w:rPr>
          <w:bCs/>
        </w:rPr>
        <w:tab/>
        <w:t>Ο Προϊστάμενος</w:t>
      </w:r>
    </w:p>
    <w:p w:rsidR="007171F0" w:rsidRDefault="007171F0" w:rsidP="001D50A2">
      <w:pPr>
        <w:jc w:val="both"/>
        <w:rPr>
          <w:bCs/>
        </w:rPr>
      </w:pPr>
    </w:p>
    <w:p w:rsidR="007171F0" w:rsidRDefault="007171F0" w:rsidP="001D50A2">
      <w:pPr>
        <w:jc w:val="both"/>
        <w:rPr>
          <w:bCs/>
        </w:rPr>
      </w:pPr>
      <w:r>
        <w:rPr>
          <w:bCs/>
        </w:rPr>
        <w:tab/>
      </w:r>
      <w:r>
        <w:rPr>
          <w:bCs/>
        </w:rPr>
        <w:tab/>
      </w:r>
      <w:r>
        <w:rPr>
          <w:bCs/>
        </w:rPr>
        <w:tab/>
      </w:r>
      <w:r>
        <w:rPr>
          <w:bCs/>
        </w:rPr>
        <w:tab/>
      </w:r>
      <w:r>
        <w:rPr>
          <w:bCs/>
        </w:rPr>
        <w:tab/>
      </w:r>
      <w:r>
        <w:rPr>
          <w:bCs/>
        </w:rPr>
        <w:tab/>
      </w:r>
      <w:r>
        <w:rPr>
          <w:bCs/>
        </w:rPr>
        <w:tab/>
        <w:t xml:space="preserve">        Θεόδωρος </w:t>
      </w:r>
      <w:proofErr w:type="spellStart"/>
      <w:r>
        <w:rPr>
          <w:bCs/>
        </w:rPr>
        <w:t>Ξυπολιάς</w:t>
      </w:r>
      <w:proofErr w:type="spellEnd"/>
      <w:r>
        <w:rPr>
          <w:bCs/>
        </w:rPr>
        <w:t xml:space="preserve"> </w:t>
      </w:r>
    </w:p>
    <w:p w:rsidR="004F2F6C" w:rsidRPr="006B3CAF" w:rsidRDefault="004F2F6C" w:rsidP="001D50A2">
      <w:pPr>
        <w:jc w:val="both"/>
        <w:rPr>
          <w:bCs/>
        </w:rPr>
      </w:pPr>
      <w:r>
        <w:rPr>
          <w:bCs/>
        </w:rPr>
        <w:tab/>
      </w:r>
      <w:r>
        <w:rPr>
          <w:bCs/>
        </w:rPr>
        <w:tab/>
      </w:r>
      <w:r>
        <w:rPr>
          <w:bCs/>
        </w:rPr>
        <w:tab/>
      </w:r>
      <w:r>
        <w:rPr>
          <w:bCs/>
        </w:rPr>
        <w:tab/>
      </w:r>
      <w:r>
        <w:rPr>
          <w:bCs/>
        </w:rPr>
        <w:tab/>
      </w:r>
      <w:r>
        <w:rPr>
          <w:bCs/>
        </w:rPr>
        <w:tab/>
        <w:t xml:space="preserve">                    Σύμβουλος Ο.Ε.Υ. Α΄</w:t>
      </w:r>
    </w:p>
    <w:sectPr w:rsidR="004F2F6C" w:rsidRPr="006B3CAF" w:rsidSect="00B379A0">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1F0" w:rsidRDefault="007171F0" w:rsidP="0014093E">
      <w:r>
        <w:separator/>
      </w:r>
    </w:p>
  </w:endnote>
  <w:endnote w:type="continuationSeparator" w:id="1">
    <w:p w:rsidR="007171F0" w:rsidRDefault="007171F0"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1F0" w:rsidRPr="00AF2A95" w:rsidRDefault="007171F0" w:rsidP="0074232E">
    <w:pPr>
      <w:pStyle w:val="Footer"/>
      <w:jc w:val="right"/>
      <w:rPr>
        <w:b/>
        <w:sz w:val="2"/>
        <w:szCs w:val="2"/>
      </w:rPr>
    </w:pPr>
    <w:r>
      <w:rPr>
        <w:b/>
      </w:rPr>
      <w:t>_____________________________________________________________________</w:t>
    </w:r>
  </w:p>
  <w:p w:rsidR="007171F0" w:rsidRDefault="007171F0" w:rsidP="0074232E">
    <w:pPr>
      <w:pStyle w:val="Footer"/>
      <w:jc w:val="center"/>
      <w:rPr>
        <w:b/>
        <w:sz w:val="20"/>
        <w:szCs w:val="20"/>
      </w:rPr>
    </w:pPr>
    <w:r>
      <w:rPr>
        <w:b/>
        <w:sz w:val="20"/>
        <w:szCs w:val="20"/>
      </w:rPr>
      <w:t>ΑΔΙΑΒΑΘΜΗΤΟ - ΚΑΝΟΝΙΚΟ</w:t>
    </w:r>
  </w:p>
  <w:p w:rsidR="007171F0" w:rsidRPr="00914D01" w:rsidRDefault="007171F0"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7C00A9">
      <w:rPr>
        <w:noProof/>
        <w:sz w:val="20"/>
        <w:szCs w:val="20"/>
      </w:rPr>
      <w:t>1</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sidR="007C00A9">
      <w:rPr>
        <w:noProof/>
        <w:sz w:val="20"/>
        <w:szCs w:val="20"/>
      </w:rPr>
      <w:t>2</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1F0" w:rsidRDefault="007171F0" w:rsidP="0014093E">
      <w:r>
        <w:separator/>
      </w:r>
    </w:p>
  </w:footnote>
  <w:footnote w:type="continuationSeparator" w:id="1">
    <w:p w:rsidR="007171F0" w:rsidRDefault="007171F0"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1C349DF"/>
    <w:multiLevelType w:val="hybridMultilevel"/>
    <w:tmpl w:val="60C61400"/>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7">
    <w:nsid w:val="1E9B46F5"/>
    <w:multiLevelType w:val="hybridMultilevel"/>
    <w:tmpl w:val="D7EE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D6E36"/>
    <w:multiLevelType w:val="hybridMultilevel"/>
    <w:tmpl w:val="B6021D4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2">
    <w:nsid w:val="2D420336"/>
    <w:multiLevelType w:val="hybridMultilevel"/>
    <w:tmpl w:val="51D2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4">
    <w:nsid w:val="36685FFE"/>
    <w:multiLevelType w:val="hybridMultilevel"/>
    <w:tmpl w:val="121058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6">
    <w:nsid w:val="3887410A"/>
    <w:multiLevelType w:val="hybridMultilevel"/>
    <w:tmpl w:val="DA186B0A"/>
    <w:lvl w:ilvl="0" w:tplc="880829E4">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2">
    <w:nsid w:val="4E322255"/>
    <w:multiLevelType w:val="hybridMultilevel"/>
    <w:tmpl w:val="A0183292"/>
    <w:lvl w:ilvl="0" w:tplc="077698AE">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nsid w:val="53650BA5"/>
    <w:multiLevelType w:val="hybridMultilevel"/>
    <w:tmpl w:val="EB96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E43DDB"/>
    <w:multiLevelType w:val="multilevel"/>
    <w:tmpl w:val="51F6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3B0F52"/>
    <w:multiLevelType w:val="hybridMultilevel"/>
    <w:tmpl w:val="0778C900"/>
    <w:lvl w:ilvl="0" w:tplc="74A4221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7">
    <w:nsid w:val="63092143"/>
    <w:multiLevelType w:val="hybridMultilevel"/>
    <w:tmpl w:val="E2126C8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2">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C423FB"/>
    <w:multiLevelType w:val="hybridMultilevel"/>
    <w:tmpl w:val="41AA85F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C370C7"/>
    <w:multiLevelType w:val="hybridMultilevel"/>
    <w:tmpl w:val="A2CCE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1"/>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6"/>
  </w:num>
  <w:num w:numId="11">
    <w:abstractNumId w:val="18"/>
  </w:num>
  <w:num w:numId="12">
    <w:abstractNumId w:val="15"/>
  </w:num>
  <w:num w:numId="13">
    <w:abstractNumId w:val="19"/>
  </w:num>
  <w:num w:numId="14">
    <w:abstractNumId w:val="28"/>
  </w:num>
  <w:num w:numId="15">
    <w:abstractNumId w:val="0"/>
  </w:num>
  <w:num w:numId="16">
    <w:abstractNumId w:val="29"/>
  </w:num>
  <w:num w:numId="17">
    <w:abstractNumId w:val="3"/>
  </w:num>
  <w:num w:numId="18">
    <w:abstractNumId w:val="32"/>
  </w:num>
  <w:num w:numId="19">
    <w:abstractNumId w:val="4"/>
  </w:num>
  <w:num w:numId="20">
    <w:abstractNumId w:val="2"/>
  </w:num>
  <w:num w:numId="21">
    <w:abstractNumId w:val="9"/>
  </w:num>
  <w:num w:numId="22">
    <w:abstractNumId w:val="6"/>
  </w:num>
  <w:num w:numId="23">
    <w:abstractNumId w:val="17"/>
  </w:num>
  <w:num w:numId="24">
    <w:abstractNumId w:val="34"/>
  </w:num>
  <w:num w:numId="25">
    <w:abstractNumId w:val="30"/>
  </w:num>
  <w:num w:numId="26">
    <w:abstractNumId w:val="16"/>
  </w:num>
  <w:num w:numId="27">
    <w:abstractNumId w:val="8"/>
  </w:num>
  <w:num w:numId="28">
    <w:abstractNumId w:val="33"/>
  </w:num>
  <w:num w:numId="29">
    <w:abstractNumId w:val="1"/>
  </w:num>
  <w:num w:numId="30">
    <w:abstractNumId w:val="27"/>
  </w:num>
  <w:num w:numId="31">
    <w:abstractNumId w:val="24"/>
  </w:num>
  <w:num w:numId="32">
    <w:abstractNumId w:val="25"/>
  </w:num>
  <w:num w:numId="33">
    <w:abstractNumId w:val="22"/>
  </w:num>
  <w:num w:numId="34">
    <w:abstractNumId w:val="7"/>
  </w:num>
  <w:num w:numId="35">
    <w:abstractNumId w:val="35"/>
  </w:num>
  <w:num w:numId="36">
    <w:abstractNumId w:val="12"/>
  </w:num>
  <w:num w:numId="37">
    <w:abstractNumId w:val="23"/>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44385"/>
  </w:hdrShapeDefaults>
  <w:footnotePr>
    <w:footnote w:id="0"/>
    <w:footnote w:id="1"/>
  </w:footnotePr>
  <w:endnotePr>
    <w:endnote w:id="0"/>
    <w:endnote w:id="1"/>
  </w:endnotePr>
  <w:compat/>
  <w:rsids>
    <w:rsidRoot w:val="00C26DB6"/>
    <w:rsid w:val="0000163C"/>
    <w:rsid w:val="000024EC"/>
    <w:rsid w:val="00002ABE"/>
    <w:rsid w:val="00002E43"/>
    <w:rsid w:val="0000410D"/>
    <w:rsid w:val="0000637E"/>
    <w:rsid w:val="00006F04"/>
    <w:rsid w:val="00007792"/>
    <w:rsid w:val="00007E18"/>
    <w:rsid w:val="00007F3B"/>
    <w:rsid w:val="000107CA"/>
    <w:rsid w:val="00010BD3"/>
    <w:rsid w:val="00010E0E"/>
    <w:rsid w:val="00010F85"/>
    <w:rsid w:val="00011052"/>
    <w:rsid w:val="00011DBF"/>
    <w:rsid w:val="00011F4C"/>
    <w:rsid w:val="00012BAC"/>
    <w:rsid w:val="000149F4"/>
    <w:rsid w:val="00015463"/>
    <w:rsid w:val="00015BE2"/>
    <w:rsid w:val="00015F67"/>
    <w:rsid w:val="00015F88"/>
    <w:rsid w:val="00017943"/>
    <w:rsid w:val="0002017A"/>
    <w:rsid w:val="0002163B"/>
    <w:rsid w:val="00021ECB"/>
    <w:rsid w:val="0002280C"/>
    <w:rsid w:val="00022B61"/>
    <w:rsid w:val="00022B9B"/>
    <w:rsid w:val="0002381D"/>
    <w:rsid w:val="000242D3"/>
    <w:rsid w:val="0002431F"/>
    <w:rsid w:val="000247CB"/>
    <w:rsid w:val="000252C6"/>
    <w:rsid w:val="00026095"/>
    <w:rsid w:val="00026251"/>
    <w:rsid w:val="00027EE6"/>
    <w:rsid w:val="00027EFF"/>
    <w:rsid w:val="000304F8"/>
    <w:rsid w:val="00030613"/>
    <w:rsid w:val="00031CE9"/>
    <w:rsid w:val="00032539"/>
    <w:rsid w:val="0003257D"/>
    <w:rsid w:val="00033494"/>
    <w:rsid w:val="000334F1"/>
    <w:rsid w:val="00033723"/>
    <w:rsid w:val="00035DD0"/>
    <w:rsid w:val="00036D98"/>
    <w:rsid w:val="000407DB"/>
    <w:rsid w:val="000423CB"/>
    <w:rsid w:val="00044329"/>
    <w:rsid w:val="00045AB6"/>
    <w:rsid w:val="00046FB3"/>
    <w:rsid w:val="00047F9D"/>
    <w:rsid w:val="0005079D"/>
    <w:rsid w:val="00053626"/>
    <w:rsid w:val="00053FCF"/>
    <w:rsid w:val="00054363"/>
    <w:rsid w:val="00054E39"/>
    <w:rsid w:val="00055113"/>
    <w:rsid w:val="0005536A"/>
    <w:rsid w:val="0005619A"/>
    <w:rsid w:val="00057D91"/>
    <w:rsid w:val="00057FA1"/>
    <w:rsid w:val="000606D7"/>
    <w:rsid w:val="0006093E"/>
    <w:rsid w:val="00062421"/>
    <w:rsid w:val="00062C69"/>
    <w:rsid w:val="00063036"/>
    <w:rsid w:val="000655AA"/>
    <w:rsid w:val="00065E98"/>
    <w:rsid w:val="00070E59"/>
    <w:rsid w:val="000717C7"/>
    <w:rsid w:val="00073A6E"/>
    <w:rsid w:val="00073DB6"/>
    <w:rsid w:val="00074EDA"/>
    <w:rsid w:val="000750ED"/>
    <w:rsid w:val="00076D25"/>
    <w:rsid w:val="000770F6"/>
    <w:rsid w:val="00077747"/>
    <w:rsid w:val="00077E77"/>
    <w:rsid w:val="00081940"/>
    <w:rsid w:val="00081C0C"/>
    <w:rsid w:val="00081C0F"/>
    <w:rsid w:val="00082750"/>
    <w:rsid w:val="000830DF"/>
    <w:rsid w:val="000844C5"/>
    <w:rsid w:val="0008479F"/>
    <w:rsid w:val="0008511B"/>
    <w:rsid w:val="000879E7"/>
    <w:rsid w:val="00090F04"/>
    <w:rsid w:val="00091B20"/>
    <w:rsid w:val="00091D7B"/>
    <w:rsid w:val="00092693"/>
    <w:rsid w:val="0009481C"/>
    <w:rsid w:val="00095312"/>
    <w:rsid w:val="00096154"/>
    <w:rsid w:val="00096705"/>
    <w:rsid w:val="000A1610"/>
    <w:rsid w:val="000A1B29"/>
    <w:rsid w:val="000A1C49"/>
    <w:rsid w:val="000A20B3"/>
    <w:rsid w:val="000A302A"/>
    <w:rsid w:val="000A361C"/>
    <w:rsid w:val="000B0878"/>
    <w:rsid w:val="000B0921"/>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D0D91"/>
    <w:rsid w:val="000D15F2"/>
    <w:rsid w:val="000D1830"/>
    <w:rsid w:val="000D626C"/>
    <w:rsid w:val="000D66B4"/>
    <w:rsid w:val="000E1325"/>
    <w:rsid w:val="000E2125"/>
    <w:rsid w:val="000E3341"/>
    <w:rsid w:val="000E36A6"/>
    <w:rsid w:val="000E402F"/>
    <w:rsid w:val="000E539C"/>
    <w:rsid w:val="000E563E"/>
    <w:rsid w:val="000E6272"/>
    <w:rsid w:val="000E6FC7"/>
    <w:rsid w:val="000E730A"/>
    <w:rsid w:val="000F0043"/>
    <w:rsid w:val="000F12E8"/>
    <w:rsid w:val="000F253F"/>
    <w:rsid w:val="000F56D4"/>
    <w:rsid w:val="000F5BDE"/>
    <w:rsid w:val="000F5D85"/>
    <w:rsid w:val="000F6DD1"/>
    <w:rsid w:val="000F7568"/>
    <w:rsid w:val="000F7992"/>
    <w:rsid w:val="000F7A70"/>
    <w:rsid w:val="00101B25"/>
    <w:rsid w:val="00102499"/>
    <w:rsid w:val="00103351"/>
    <w:rsid w:val="001042B3"/>
    <w:rsid w:val="00105F58"/>
    <w:rsid w:val="00106026"/>
    <w:rsid w:val="001077D2"/>
    <w:rsid w:val="00107A86"/>
    <w:rsid w:val="00107E5F"/>
    <w:rsid w:val="001127AC"/>
    <w:rsid w:val="0011368C"/>
    <w:rsid w:val="00115B36"/>
    <w:rsid w:val="001164BD"/>
    <w:rsid w:val="001177B5"/>
    <w:rsid w:val="00117C7C"/>
    <w:rsid w:val="00121FD4"/>
    <w:rsid w:val="00122AC2"/>
    <w:rsid w:val="00123395"/>
    <w:rsid w:val="00126304"/>
    <w:rsid w:val="00127949"/>
    <w:rsid w:val="00140203"/>
    <w:rsid w:val="00140280"/>
    <w:rsid w:val="0014093E"/>
    <w:rsid w:val="001410C2"/>
    <w:rsid w:val="00141689"/>
    <w:rsid w:val="00142218"/>
    <w:rsid w:val="00144C4F"/>
    <w:rsid w:val="001459BC"/>
    <w:rsid w:val="00145FA4"/>
    <w:rsid w:val="00146050"/>
    <w:rsid w:val="001465F1"/>
    <w:rsid w:val="00146701"/>
    <w:rsid w:val="00147A0C"/>
    <w:rsid w:val="001500B5"/>
    <w:rsid w:val="00151EB4"/>
    <w:rsid w:val="00152228"/>
    <w:rsid w:val="001524D0"/>
    <w:rsid w:val="001536B5"/>
    <w:rsid w:val="00154180"/>
    <w:rsid w:val="00154A4D"/>
    <w:rsid w:val="001559A3"/>
    <w:rsid w:val="00156BA2"/>
    <w:rsid w:val="00160456"/>
    <w:rsid w:val="0016046F"/>
    <w:rsid w:val="001622A1"/>
    <w:rsid w:val="001649A6"/>
    <w:rsid w:val="00165582"/>
    <w:rsid w:val="00165A79"/>
    <w:rsid w:val="00166191"/>
    <w:rsid w:val="00166CA4"/>
    <w:rsid w:val="00167446"/>
    <w:rsid w:val="00167690"/>
    <w:rsid w:val="00167E3A"/>
    <w:rsid w:val="00170EE5"/>
    <w:rsid w:val="00171252"/>
    <w:rsid w:val="001717D4"/>
    <w:rsid w:val="00172266"/>
    <w:rsid w:val="00173A41"/>
    <w:rsid w:val="001740E2"/>
    <w:rsid w:val="0017420A"/>
    <w:rsid w:val="00174AAC"/>
    <w:rsid w:val="00174C73"/>
    <w:rsid w:val="001759BB"/>
    <w:rsid w:val="00175FDD"/>
    <w:rsid w:val="001762FE"/>
    <w:rsid w:val="00176989"/>
    <w:rsid w:val="001804F6"/>
    <w:rsid w:val="00180641"/>
    <w:rsid w:val="001815DC"/>
    <w:rsid w:val="00182526"/>
    <w:rsid w:val="00184CF3"/>
    <w:rsid w:val="0018521A"/>
    <w:rsid w:val="001876C5"/>
    <w:rsid w:val="00187D5B"/>
    <w:rsid w:val="00193092"/>
    <w:rsid w:val="001938DB"/>
    <w:rsid w:val="00194FC0"/>
    <w:rsid w:val="0019507C"/>
    <w:rsid w:val="00195C3B"/>
    <w:rsid w:val="00196030"/>
    <w:rsid w:val="001964D2"/>
    <w:rsid w:val="001A3308"/>
    <w:rsid w:val="001A55C2"/>
    <w:rsid w:val="001A5A3F"/>
    <w:rsid w:val="001A5EE6"/>
    <w:rsid w:val="001A7CAF"/>
    <w:rsid w:val="001B06F2"/>
    <w:rsid w:val="001B4948"/>
    <w:rsid w:val="001B606B"/>
    <w:rsid w:val="001B6DA0"/>
    <w:rsid w:val="001B6E34"/>
    <w:rsid w:val="001C0077"/>
    <w:rsid w:val="001C00A3"/>
    <w:rsid w:val="001C01FC"/>
    <w:rsid w:val="001C042C"/>
    <w:rsid w:val="001C1B9F"/>
    <w:rsid w:val="001C222F"/>
    <w:rsid w:val="001C304D"/>
    <w:rsid w:val="001C3061"/>
    <w:rsid w:val="001C4401"/>
    <w:rsid w:val="001C4889"/>
    <w:rsid w:val="001C7BA6"/>
    <w:rsid w:val="001D1788"/>
    <w:rsid w:val="001D1B65"/>
    <w:rsid w:val="001D1EDE"/>
    <w:rsid w:val="001D24FA"/>
    <w:rsid w:val="001D2708"/>
    <w:rsid w:val="001D2C5B"/>
    <w:rsid w:val="001D4294"/>
    <w:rsid w:val="001D47E9"/>
    <w:rsid w:val="001D4FA7"/>
    <w:rsid w:val="001D50A2"/>
    <w:rsid w:val="001D774F"/>
    <w:rsid w:val="001D7B3E"/>
    <w:rsid w:val="001D7DA0"/>
    <w:rsid w:val="001E0B78"/>
    <w:rsid w:val="001E1A0E"/>
    <w:rsid w:val="001E1A6A"/>
    <w:rsid w:val="001E2148"/>
    <w:rsid w:val="001E26D7"/>
    <w:rsid w:val="001E37FC"/>
    <w:rsid w:val="001E503D"/>
    <w:rsid w:val="001E52C4"/>
    <w:rsid w:val="001E5770"/>
    <w:rsid w:val="001E599F"/>
    <w:rsid w:val="001E7E13"/>
    <w:rsid w:val="001F19DC"/>
    <w:rsid w:val="001F1CAB"/>
    <w:rsid w:val="001F3AAE"/>
    <w:rsid w:val="001F6149"/>
    <w:rsid w:val="001F6A6D"/>
    <w:rsid w:val="001F6B19"/>
    <w:rsid w:val="001F705F"/>
    <w:rsid w:val="001F7B6C"/>
    <w:rsid w:val="001F7E1F"/>
    <w:rsid w:val="002008CE"/>
    <w:rsid w:val="00200D0B"/>
    <w:rsid w:val="00200EFF"/>
    <w:rsid w:val="00201419"/>
    <w:rsid w:val="00202AA7"/>
    <w:rsid w:val="0020310F"/>
    <w:rsid w:val="00203A4B"/>
    <w:rsid w:val="002042E0"/>
    <w:rsid w:val="00205180"/>
    <w:rsid w:val="002064A9"/>
    <w:rsid w:val="00210062"/>
    <w:rsid w:val="002109B6"/>
    <w:rsid w:val="0021185F"/>
    <w:rsid w:val="002125A5"/>
    <w:rsid w:val="002127D0"/>
    <w:rsid w:val="00214C46"/>
    <w:rsid w:val="00216276"/>
    <w:rsid w:val="00216293"/>
    <w:rsid w:val="00217A57"/>
    <w:rsid w:val="002207DD"/>
    <w:rsid w:val="00220B7E"/>
    <w:rsid w:val="002210AF"/>
    <w:rsid w:val="00221A45"/>
    <w:rsid w:val="00221DD6"/>
    <w:rsid w:val="002220F8"/>
    <w:rsid w:val="002258FD"/>
    <w:rsid w:val="002304D1"/>
    <w:rsid w:val="00232370"/>
    <w:rsid w:val="00232D02"/>
    <w:rsid w:val="0023300A"/>
    <w:rsid w:val="002340CD"/>
    <w:rsid w:val="002364F7"/>
    <w:rsid w:val="00236C82"/>
    <w:rsid w:val="00237551"/>
    <w:rsid w:val="00240627"/>
    <w:rsid w:val="002422A2"/>
    <w:rsid w:val="0024252A"/>
    <w:rsid w:val="0024361C"/>
    <w:rsid w:val="00243DFD"/>
    <w:rsid w:val="00244611"/>
    <w:rsid w:val="00244F64"/>
    <w:rsid w:val="002454F7"/>
    <w:rsid w:val="00250700"/>
    <w:rsid w:val="00250D95"/>
    <w:rsid w:val="00251444"/>
    <w:rsid w:val="002523BE"/>
    <w:rsid w:val="002528C3"/>
    <w:rsid w:val="00253783"/>
    <w:rsid w:val="002572F7"/>
    <w:rsid w:val="002578C2"/>
    <w:rsid w:val="00257EA5"/>
    <w:rsid w:val="00261304"/>
    <w:rsid w:val="002618EA"/>
    <w:rsid w:val="002628E7"/>
    <w:rsid w:val="00264107"/>
    <w:rsid w:val="002654F3"/>
    <w:rsid w:val="00266589"/>
    <w:rsid w:val="0026659B"/>
    <w:rsid w:val="00266FAB"/>
    <w:rsid w:val="002717F8"/>
    <w:rsid w:val="00271E51"/>
    <w:rsid w:val="00273052"/>
    <w:rsid w:val="0027307E"/>
    <w:rsid w:val="00273E08"/>
    <w:rsid w:val="002743BE"/>
    <w:rsid w:val="00274770"/>
    <w:rsid w:val="00275CF6"/>
    <w:rsid w:val="00276ED2"/>
    <w:rsid w:val="00277BAC"/>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1168"/>
    <w:rsid w:val="002A2205"/>
    <w:rsid w:val="002A25E2"/>
    <w:rsid w:val="002A41B9"/>
    <w:rsid w:val="002A58D9"/>
    <w:rsid w:val="002B0A19"/>
    <w:rsid w:val="002B16A1"/>
    <w:rsid w:val="002B33F3"/>
    <w:rsid w:val="002B5317"/>
    <w:rsid w:val="002B657A"/>
    <w:rsid w:val="002C0BC9"/>
    <w:rsid w:val="002C14F7"/>
    <w:rsid w:val="002C1900"/>
    <w:rsid w:val="002C2A34"/>
    <w:rsid w:val="002C5F2D"/>
    <w:rsid w:val="002C64D3"/>
    <w:rsid w:val="002C67E7"/>
    <w:rsid w:val="002C7306"/>
    <w:rsid w:val="002D02D1"/>
    <w:rsid w:val="002D18B7"/>
    <w:rsid w:val="002D1C69"/>
    <w:rsid w:val="002D356F"/>
    <w:rsid w:val="002D4D31"/>
    <w:rsid w:val="002D4F33"/>
    <w:rsid w:val="002D58BA"/>
    <w:rsid w:val="002D5DB8"/>
    <w:rsid w:val="002D6D23"/>
    <w:rsid w:val="002D7268"/>
    <w:rsid w:val="002D72FA"/>
    <w:rsid w:val="002D7321"/>
    <w:rsid w:val="002D7916"/>
    <w:rsid w:val="002D7945"/>
    <w:rsid w:val="002E076B"/>
    <w:rsid w:val="002E11C9"/>
    <w:rsid w:val="002E1795"/>
    <w:rsid w:val="002E17F8"/>
    <w:rsid w:val="002E322E"/>
    <w:rsid w:val="002E7153"/>
    <w:rsid w:val="002F0DDC"/>
    <w:rsid w:val="002F238F"/>
    <w:rsid w:val="002F299C"/>
    <w:rsid w:val="002F3521"/>
    <w:rsid w:val="002F46C3"/>
    <w:rsid w:val="002F61B1"/>
    <w:rsid w:val="002F6E30"/>
    <w:rsid w:val="002F7738"/>
    <w:rsid w:val="00300E98"/>
    <w:rsid w:val="003019E7"/>
    <w:rsid w:val="0030218A"/>
    <w:rsid w:val="003028E4"/>
    <w:rsid w:val="00303815"/>
    <w:rsid w:val="00305981"/>
    <w:rsid w:val="00307773"/>
    <w:rsid w:val="00307B5B"/>
    <w:rsid w:val="00311F0B"/>
    <w:rsid w:val="00313656"/>
    <w:rsid w:val="00313F7D"/>
    <w:rsid w:val="00314021"/>
    <w:rsid w:val="003148AD"/>
    <w:rsid w:val="00315D9B"/>
    <w:rsid w:val="00316A9F"/>
    <w:rsid w:val="00316ACA"/>
    <w:rsid w:val="003174B3"/>
    <w:rsid w:val="003179EC"/>
    <w:rsid w:val="00317ABC"/>
    <w:rsid w:val="00322316"/>
    <w:rsid w:val="00322AAE"/>
    <w:rsid w:val="00323774"/>
    <w:rsid w:val="00323C0A"/>
    <w:rsid w:val="00330CC3"/>
    <w:rsid w:val="00332331"/>
    <w:rsid w:val="00333C1F"/>
    <w:rsid w:val="0033440E"/>
    <w:rsid w:val="0033540F"/>
    <w:rsid w:val="003354E2"/>
    <w:rsid w:val="003359BE"/>
    <w:rsid w:val="00335F9F"/>
    <w:rsid w:val="003371D9"/>
    <w:rsid w:val="00337E35"/>
    <w:rsid w:val="00337F4C"/>
    <w:rsid w:val="003400B2"/>
    <w:rsid w:val="00341856"/>
    <w:rsid w:val="00341861"/>
    <w:rsid w:val="0034186F"/>
    <w:rsid w:val="00344EDA"/>
    <w:rsid w:val="003463FD"/>
    <w:rsid w:val="00347D17"/>
    <w:rsid w:val="00347DEA"/>
    <w:rsid w:val="00350535"/>
    <w:rsid w:val="00352376"/>
    <w:rsid w:val="00352C8F"/>
    <w:rsid w:val="003530CC"/>
    <w:rsid w:val="00354031"/>
    <w:rsid w:val="0036327E"/>
    <w:rsid w:val="003640A3"/>
    <w:rsid w:val="00364301"/>
    <w:rsid w:val="00364816"/>
    <w:rsid w:val="003651A8"/>
    <w:rsid w:val="003658D7"/>
    <w:rsid w:val="00367983"/>
    <w:rsid w:val="00367996"/>
    <w:rsid w:val="00371DC9"/>
    <w:rsid w:val="003723E0"/>
    <w:rsid w:val="003724CE"/>
    <w:rsid w:val="0037515F"/>
    <w:rsid w:val="00375A8A"/>
    <w:rsid w:val="003769D5"/>
    <w:rsid w:val="00376E6D"/>
    <w:rsid w:val="003773C4"/>
    <w:rsid w:val="003803CE"/>
    <w:rsid w:val="00380C6E"/>
    <w:rsid w:val="00381203"/>
    <w:rsid w:val="00381C27"/>
    <w:rsid w:val="003820CC"/>
    <w:rsid w:val="00382E76"/>
    <w:rsid w:val="00383024"/>
    <w:rsid w:val="00384110"/>
    <w:rsid w:val="0038613F"/>
    <w:rsid w:val="0038621F"/>
    <w:rsid w:val="00386694"/>
    <w:rsid w:val="00387AEF"/>
    <w:rsid w:val="00390080"/>
    <w:rsid w:val="00390985"/>
    <w:rsid w:val="00392870"/>
    <w:rsid w:val="0039419B"/>
    <w:rsid w:val="00394AC8"/>
    <w:rsid w:val="00394CB0"/>
    <w:rsid w:val="00394FC3"/>
    <w:rsid w:val="00395BA2"/>
    <w:rsid w:val="0039713A"/>
    <w:rsid w:val="003A12C1"/>
    <w:rsid w:val="003A21DC"/>
    <w:rsid w:val="003A2D53"/>
    <w:rsid w:val="003A3EA6"/>
    <w:rsid w:val="003A4367"/>
    <w:rsid w:val="003A52B0"/>
    <w:rsid w:val="003A556C"/>
    <w:rsid w:val="003A60E0"/>
    <w:rsid w:val="003A6E9C"/>
    <w:rsid w:val="003A7803"/>
    <w:rsid w:val="003B104B"/>
    <w:rsid w:val="003B1436"/>
    <w:rsid w:val="003B2695"/>
    <w:rsid w:val="003B427C"/>
    <w:rsid w:val="003B4A3A"/>
    <w:rsid w:val="003C0C89"/>
    <w:rsid w:val="003C2372"/>
    <w:rsid w:val="003C30F4"/>
    <w:rsid w:val="003C3E93"/>
    <w:rsid w:val="003C442D"/>
    <w:rsid w:val="003C457E"/>
    <w:rsid w:val="003C4C0E"/>
    <w:rsid w:val="003C765E"/>
    <w:rsid w:val="003C7AAA"/>
    <w:rsid w:val="003D15A1"/>
    <w:rsid w:val="003D1CA1"/>
    <w:rsid w:val="003D22AB"/>
    <w:rsid w:val="003D2430"/>
    <w:rsid w:val="003D2573"/>
    <w:rsid w:val="003D2F8A"/>
    <w:rsid w:val="003D5667"/>
    <w:rsid w:val="003D6ABA"/>
    <w:rsid w:val="003D75F0"/>
    <w:rsid w:val="003E005D"/>
    <w:rsid w:val="003E00C1"/>
    <w:rsid w:val="003E0D4B"/>
    <w:rsid w:val="003E18D7"/>
    <w:rsid w:val="003E1D26"/>
    <w:rsid w:val="003E2FE0"/>
    <w:rsid w:val="003E3553"/>
    <w:rsid w:val="003E44C1"/>
    <w:rsid w:val="003E4FB6"/>
    <w:rsid w:val="003E5811"/>
    <w:rsid w:val="003E5BD6"/>
    <w:rsid w:val="003E62AE"/>
    <w:rsid w:val="003E6432"/>
    <w:rsid w:val="003E6715"/>
    <w:rsid w:val="003E71C6"/>
    <w:rsid w:val="003F104D"/>
    <w:rsid w:val="003F1CA9"/>
    <w:rsid w:val="003F21E3"/>
    <w:rsid w:val="003F26BC"/>
    <w:rsid w:val="003F4736"/>
    <w:rsid w:val="003F4C0E"/>
    <w:rsid w:val="003F6235"/>
    <w:rsid w:val="00400996"/>
    <w:rsid w:val="00401AC2"/>
    <w:rsid w:val="00402A79"/>
    <w:rsid w:val="00406C50"/>
    <w:rsid w:val="00410832"/>
    <w:rsid w:val="00411FEB"/>
    <w:rsid w:val="00413375"/>
    <w:rsid w:val="004133BC"/>
    <w:rsid w:val="00414047"/>
    <w:rsid w:val="00414C51"/>
    <w:rsid w:val="0041687C"/>
    <w:rsid w:val="00417DEB"/>
    <w:rsid w:val="00417FE5"/>
    <w:rsid w:val="00420538"/>
    <w:rsid w:val="00421BD5"/>
    <w:rsid w:val="00422583"/>
    <w:rsid w:val="004226F2"/>
    <w:rsid w:val="004227C3"/>
    <w:rsid w:val="00422BBD"/>
    <w:rsid w:val="00425A21"/>
    <w:rsid w:val="00430241"/>
    <w:rsid w:val="00430FB3"/>
    <w:rsid w:val="00431084"/>
    <w:rsid w:val="00431CDE"/>
    <w:rsid w:val="00432D9C"/>
    <w:rsid w:val="004331FA"/>
    <w:rsid w:val="004341C4"/>
    <w:rsid w:val="00434950"/>
    <w:rsid w:val="004357F5"/>
    <w:rsid w:val="00437440"/>
    <w:rsid w:val="004375F1"/>
    <w:rsid w:val="0044057B"/>
    <w:rsid w:val="00442287"/>
    <w:rsid w:val="004431C5"/>
    <w:rsid w:val="00443543"/>
    <w:rsid w:val="0044358C"/>
    <w:rsid w:val="00443817"/>
    <w:rsid w:val="00443D78"/>
    <w:rsid w:val="00453712"/>
    <w:rsid w:val="00453D91"/>
    <w:rsid w:val="00455CE5"/>
    <w:rsid w:val="004564E9"/>
    <w:rsid w:val="0045757E"/>
    <w:rsid w:val="0046078D"/>
    <w:rsid w:val="00460A75"/>
    <w:rsid w:val="00460C11"/>
    <w:rsid w:val="00461304"/>
    <w:rsid w:val="00462BB7"/>
    <w:rsid w:val="00463474"/>
    <w:rsid w:val="00463947"/>
    <w:rsid w:val="00465BFA"/>
    <w:rsid w:val="00465F1F"/>
    <w:rsid w:val="00466749"/>
    <w:rsid w:val="00471220"/>
    <w:rsid w:val="00472175"/>
    <w:rsid w:val="004724DC"/>
    <w:rsid w:val="00472689"/>
    <w:rsid w:val="00473AAB"/>
    <w:rsid w:val="004748EA"/>
    <w:rsid w:val="004750E8"/>
    <w:rsid w:val="004809FE"/>
    <w:rsid w:val="00480BDE"/>
    <w:rsid w:val="00481191"/>
    <w:rsid w:val="004818DE"/>
    <w:rsid w:val="00481CDB"/>
    <w:rsid w:val="004828EC"/>
    <w:rsid w:val="00482AA7"/>
    <w:rsid w:val="00483880"/>
    <w:rsid w:val="00484215"/>
    <w:rsid w:val="00486397"/>
    <w:rsid w:val="00486B59"/>
    <w:rsid w:val="004875D1"/>
    <w:rsid w:val="00490CAD"/>
    <w:rsid w:val="00492B2C"/>
    <w:rsid w:val="00493FA8"/>
    <w:rsid w:val="00495804"/>
    <w:rsid w:val="00495AF2"/>
    <w:rsid w:val="00495E84"/>
    <w:rsid w:val="00496499"/>
    <w:rsid w:val="0049673A"/>
    <w:rsid w:val="00496E42"/>
    <w:rsid w:val="004979D8"/>
    <w:rsid w:val="004A0028"/>
    <w:rsid w:val="004A00D6"/>
    <w:rsid w:val="004A0C21"/>
    <w:rsid w:val="004A2808"/>
    <w:rsid w:val="004A38E3"/>
    <w:rsid w:val="004A3D56"/>
    <w:rsid w:val="004A43EF"/>
    <w:rsid w:val="004A515F"/>
    <w:rsid w:val="004A5E8C"/>
    <w:rsid w:val="004A61D4"/>
    <w:rsid w:val="004A61FD"/>
    <w:rsid w:val="004A6A16"/>
    <w:rsid w:val="004A7929"/>
    <w:rsid w:val="004B004F"/>
    <w:rsid w:val="004B0A9E"/>
    <w:rsid w:val="004B133C"/>
    <w:rsid w:val="004B143E"/>
    <w:rsid w:val="004B1990"/>
    <w:rsid w:val="004B1E22"/>
    <w:rsid w:val="004B28CF"/>
    <w:rsid w:val="004B2C4D"/>
    <w:rsid w:val="004B3435"/>
    <w:rsid w:val="004B43CE"/>
    <w:rsid w:val="004B4A84"/>
    <w:rsid w:val="004B640B"/>
    <w:rsid w:val="004B6461"/>
    <w:rsid w:val="004B6602"/>
    <w:rsid w:val="004C1319"/>
    <w:rsid w:val="004C3F51"/>
    <w:rsid w:val="004C51EF"/>
    <w:rsid w:val="004C5891"/>
    <w:rsid w:val="004C5C73"/>
    <w:rsid w:val="004C7543"/>
    <w:rsid w:val="004C7DA5"/>
    <w:rsid w:val="004D0C61"/>
    <w:rsid w:val="004D2118"/>
    <w:rsid w:val="004D23E0"/>
    <w:rsid w:val="004D29AF"/>
    <w:rsid w:val="004D3505"/>
    <w:rsid w:val="004D49F0"/>
    <w:rsid w:val="004D576E"/>
    <w:rsid w:val="004D61A2"/>
    <w:rsid w:val="004E078E"/>
    <w:rsid w:val="004E0F85"/>
    <w:rsid w:val="004E187E"/>
    <w:rsid w:val="004E499C"/>
    <w:rsid w:val="004E69BB"/>
    <w:rsid w:val="004E6AA3"/>
    <w:rsid w:val="004F0FBA"/>
    <w:rsid w:val="004F18DB"/>
    <w:rsid w:val="004F2204"/>
    <w:rsid w:val="004F2F6C"/>
    <w:rsid w:val="004F31DB"/>
    <w:rsid w:val="004F3CDF"/>
    <w:rsid w:val="004F45DB"/>
    <w:rsid w:val="004F5016"/>
    <w:rsid w:val="004F62C4"/>
    <w:rsid w:val="004F6B38"/>
    <w:rsid w:val="004F6B49"/>
    <w:rsid w:val="00501078"/>
    <w:rsid w:val="00501F7B"/>
    <w:rsid w:val="00502338"/>
    <w:rsid w:val="0050238D"/>
    <w:rsid w:val="0050250E"/>
    <w:rsid w:val="0050311C"/>
    <w:rsid w:val="00504E7F"/>
    <w:rsid w:val="00505134"/>
    <w:rsid w:val="005055F0"/>
    <w:rsid w:val="005062B0"/>
    <w:rsid w:val="005063DB"/>
    <w:rsid w:val="00506C17"/>
    <w:rsid w:val="00506F87"/>
    <w:rsid w:val="0050727C"/>
    <w:rsid w:val="00507723"/>
    <w:rsid w:val="00510410"/>
    <w:rsid w:val="00510656"/>
    <w:rsid w:val="00512700"/>
    <w:rsid w:val="005129D0"/>
    <w:rsid w:val="00512EBC"/>
    <w:rsid w:val="00513A02"/>
    <w:rsid w:val="00513FB2"/>
    <w:rsid w:val="00521E2C"/>
    <w:rsid w:val="00521FB9"/>
    <w:rsid w:val="005246D3"/>
    <w:rsid w:val="005258F4"/>
    <w:rsid w:val="005259E4"/>
    <w:rsid w:val="00526CB9"/>
    <w:rsid w:val="005270E8"/>
    <w:rsid w:val="00530795"/>
    <w:rsid w:val="00532A5E"/>
    <w:rsid w:val="00534FD9"/>
    <w:rsid w:val="00535051"/>
    <w:rsid w:val="00535170"/>
    <w:rsid w:val="005352F2"/>
    <w:rsid w:val="00536055"/>
    <w:rsid w:val="0053614C"/>
    <w:rsid w:val="00536585"/>
    <w:rsid w:val="00536FD0"/>
    <w:rsid w:val="00540B1D"/>
    <w:rsid w:val="00540C59"/>
    <w:rsid w:val="005426C4"/>
    <w:rsid w:val="0054288D"/>
    <w:rsid w:val="00544D92"/>
    <w:rsid w:val="00545445"/>
    <w:rsid w:val="0054550A"/>
    <w:rsid w:val="00545853"/>
    <w:rsid w:val="00546FD3"/>
    <w:rsid w:val="00552060"/>
    <w:rsid w:val="005528C1"/>
    <w:rsid w:val="00552C22"/>
    <w:rsid w:val="0055588D"/>
    <w:rsid w:val="0055673D"/>
    <w:rsid w:val="00557AAF"/>
    <w:rsid w:val="00562311"/>
    <w:rsid w:val="00562CA9"/>
    <w:rsid w:val="00562D0F"/>
    <w:rsid w:val="00562EC1"/>
    <w:rsid w:val="00562ED9"/>
    <w:rsid w:val="00563CC6"/>
    <w:rsid w:val="00564B4E"/>
    <w:rsid w:val="00565025"/>
    <w:rsid w:val="00566012"/>
    <w:rsid w:val="00566FFA"/>
    <w:rsid w:val="00570B6B"/>
    <w:rsid w:val="00573437"/>
    <w:rsid w:val="00576CB6"/>
    <w:rsid w:val="005779E9"/>
    <w:rsid w:val="005820D2"/>
    <w:rsid w:val="005827C9"/>
    <w:rsid w:val="0058303C"/>
    <w:rsid w:val="005854EB"/>
    <w:rsid w:val="005874B6"/>
    <w:rsid w:val="00590694"/>
    <w:rsid w:val="005907E6"/>
    <w:rsid w:val="005908E0"/>
    <w:rsid w:val="00590F73"/>
    <w:rsid w:val="00591A4A"/>
    <w:rsid w:val="00593F7B"/>
    <w:rsid w:val="00594212"/>
    <w:rsid w:val="00595E07"/>
    <w:rsid w:val="00595F63"/>
    <w:rsid w:val="00596D3C"/>
    <w:rsid w:val="00597EEA"/>
    <w:rsid w:val="005A077B"/>
    <w:rsid w:val="005A1A88"/>
    <w:rsid w:val="005A208A"/>
    <w:rsid w:val="005A2B6B"/>
    <w:rsid w:val="005A34E9"/>
    <w:rsid w:val="005A3619"/>
    <w:rsid w:val="005A36DE"/>
    <w:rsid w:val="005A37F9"/>
    <w:rsid w:val="005A485E"/>
    <w:rsid w:val="005A6469"/>
    <w:rsid w:val="005A727E"/>
    <w:rsid w:val="005A7DC4"/>
    <w:rsid w:val="005B493A"/>
    <w:rsid w:val="005B5D09"/>
    <w:rsid w:val="005B72B8"/>
    <w:rsid w:val="005B7463"/>
    <w:rsid w:val="005B7B82"/>
    <w:rsid w:val="005C146F"/>
    <w:rsid w:val="005C2111"/>
    <w:rsid w:val="005C2177"/>
    <w:rsid w:val="005C512C"/>
    <w:rsid w:val="005C593C"/>
    <w:rsid w:val="005C6A71"/>
    <w:rsid w:val="005D134F"/>
    <w:rsid w:val="005D1355"/>
    <w:rsid w:val="005D50EC"/>
    <w:rsid w:val="005D53B4"/>
    <w:rsid w:val="005D59A7"/>
    <w:rsid w:val="005D5C9A"/>
    <w:rsid w:val="005D613C"/>
    <w:rsid w:val="005D7006"/>
    <w:rsid w:val="005D7B10"/>
    <w:rsid w:val="005D7D78"/>
    <w:rsid w:val="005E0172"/>
    <w:rsid w:val="005E082C"/>
    <w:rsid w:val="005E1532"/>
    <w:rsid w:val="005E1D5E"/>
    <w:rsid w:val="005E2903"/>
    <w:rsid w:val="005E2AE2"/>
    <w:rsid w:val="005E2DAB"/>
    <w:rsid w:val="005E342D"/>
    <w:rsid w:val="005E4B74"/>
    <w:rsid w:val="005E511B"/>
    <w:rsid w:val="005E5128"/>
    <w:rsid w:val="005E5B0A"/>
    <w:rsid w:val="005E637A"/>
    <w:rsid w:val="005E7207"/>
    <w:rsid w:val="005E7883"/>
    <w:rsid w:val="005E79B9"/>
    <w:rsid w:val="005F03DE"/>
    <w:rsid w:val="005F1B57"/>
    <w:rsid w:val="005F3536"/>
    <w:rsid w:val="005F5506"/>
    <w:rsid w:val="005F738D"/>
    <w:rsid w:val="0060057E"/>
    <w:rsid w:val="00600C6F"/>
    <w:rsid w:val="00600D0D"/>
    <w:rsid w:val="00600D37"/>
    <w:rsid w:val="006021BB"/>
    <w:rsid w:val="00602272"/>
    <w:rsid w:val="00602572"/>
    <w:rsid w:val="006037BE"/>
    <w:rsid w:val="00603844"/>
    <w:rsid w:val="006038F0"/>
    <w:rsid w:val="00603DB8"/>
    <w:rsid w:val="00605385"/>
    <w:rsid w:val="00605DFC"/>
    <w:rsid w:val="006060EC"/>
    <w:rsid w:val="006063E7"/>
    <w:rsid w:val="00606658"/>
    <w:rsid w:val="00606F6E"/>
    <w:rsid w:val="0061194D"/>
    <w:rsid w:val="00613004"/>
    <w:rsid w:val="00613AB5"/>
    <w:rsid w:val="006144E5"/>
    <w:rsid w:val="00615544"/>
    <w:rsid w:val="00615675"/>
    <w:rsid w:val="00615DF8"/>
    <w:rsid w:val="00616005"/>
    <w:rsid w:val="00616868"/>
    <w:rsid w:val="00616DBC"/>
    <w:rsid w:val="00621359"/>
    <w:rsid w:val="00622085"/>
    <w:rsid w:val="006225DF"/>
    <w:rsid w:val="00624395"/>
    <w:rsid w:val="00624726"/>
    <w:rsid w:val="00627018"/>
    <w:rsid w:val="00627F99"/>
    <w:rsid w:val="00632859"/>
    <w:rsid w:val="0063293C"/>
    <w:rsid w:val="006329E8"/>
    <w:rsid w:val="006365F9"/>
    <w:rsid w:val="00636AD3"/>
    <w:rsid w:val="00636D08"/>
    <w:rsid w:val="00636E60"/>
    <w:rsid w:val="00641383"/>
    <w:rsid w:val="00641AD5"/>
    <w:rsid w:val="006433DA"/>
    <w:rsid w:val="00643A39"/>
    <w:rsid w:val="006448F1"/>
    <w:rsid w:val="00646634"/>
    <w:rsid w:val="00651CEA"/>
    <w:rsid w:val="00653566"/>
    <w:rsid w:val="0065448C"/>
    <w:rsid w:val="00655EDB"/>
    <w:rsid w:val="0065657B"/>
    <w:rsid w:val="00656EF3"/>
    <w:rsid w:val="00661325"/>
    <w:rsid w:val="0066141C"/>
    <w:rsid w:val="00661458"/>
    <w:rsid w:val="00661539"/>
    <w:rsid w:val="0066211A"/>
    <w:rsid w:val="00663E56"/>
    <w:rsid w:val="00664006"/>
    <w:rsid w:val="0066411C"/>
    <w:rsid w:val="006643C7"/>
    <w:rsid w:val="00664777"/>
    <w:rsid w:val="00664FB3"/>
    <w:rsid w:val="00665A75"/>
    <w:rsid w:val="00665B01"/>
    <w:rsid w:val="00665C66"/>
    <w:rsid w:val="00665CDA"/>
    <w:rsid w:val="00666800"/>
    <w:rsid w:val="00670869"/>
    <w:rsid w:val="006740D8"/>
    <w:rsid w:val="00674440"/>
    <w:rsid w:val="00674EBD"/>
    <w:rsid w:val="00675103"/>
    <w:rsid w:val="0067577E"/>
    <w:rsid w:val="00676936"/>
    <w:rsid w:val="006808E5"/>
    <w:rsid w:val="006815B9"/>
    <w:rsid w:val="0068363A"/>
    <w:rsid w:val="00684750"/>
    <w:rsid w:val="00684759"/>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60A0"/>
    <w:rsid w:val="00697BE9"/>
    <w:rsid w:val="006A04BB"/>
    <w:rsid w:val="006A0938"/>
    <w:rsid w:val="006A09EA"/>
    <w:rsid w:val="006A0FB2"/>
    <w:rsid w:val="006A1EF0"/>
    <w:rsid w:val="006A2676"/>
    <w:rsid w:val="006A2CC1"/>
    <w:rsid w:val="006A3B9B"/>
    <w:rsid w:val="006A41E3"/>
    <w:rsid w:val="006A4EE5"/>
    <w:rsid w:val="006A527B"/>
    <w:rsid w:val="006A60CD"/>
    <w:rsid w:val="006A6100"/>
    <w:rsid w:val="006A69AA"/>
    <w:rsid w:val="006A7483"/>
    <w:rsid w:val="006A79CF"/>
    <w:rsid w:val="006A7F27"/>
    <w:rsid w:val="006B1FC7"/>
    <w:rsid w:val="006B3CAF"/>
    <w:rsid w:val="006B40A2"/>
    <w:rsid w:val="006B42FD"/>
    <w:rsid w:val="006B5DE4"/>
    <w:rsid w:val="006B65C3"/>
    <w:rsid w:val="006B6ED5"/>
    <w:rsid w:val="006B7468"/>
    <w:rsid w:val="006C095A"/>
    <w:rsid w:val="006C3986"/>
    <w:rsid w:val="006C3A4B"/>
    <w:rsid w:val="006C46F0"/>
    <w:rsid w:val="006C4DB6"/>
    <w:rsid w:val="006C5113"/>
    <w:rsid w:val="006C58DA"/>
    <w:rsid w:val="006C5F46"/>
    <w:rsid w:val="006C6E2F"/>
    <w:rsid w:val="006D0684"/>
    <w:rsid w:val="006D07F9"/>
    <w:rsid w:val="006D12B6"/>
    <w:rsid w:val="006D22DC"/>
    <w:rsid w:val="006D231D"/>
    <w:rsid w:val="006D4308"/>
    <w:rsid w:val="006D4902"/>
    <w:rsid w:val="006D4B36"/>
    <w:rsid w:val="006D4DEB"/>
    <w:rsid w:val="006D574B"/>
    <w:rsid w:val="006D730F"/>
    <w:rsid w:val="006E0191"/>
    <w:rsid w:val="006E0DB4"/>
    <w:rsid w:val="006E1495"/>
    <w:rsid w:val="006E1AAF"/>
    <w:rsid w:val="006E1FC1"/>
    <w:rsid w:val="006E2DC2"/>
    <w:rsid w:val="006E34B1"/>
    <w:rsid w:val="006E6700"/>
    <w:rsid w:val="006E704D"/>
    <w:rsid w:val="006E788A"/>
    <w:rsid w:val="006F0092"/>
    <w:rsid w:val="006F1EF4"/>
    <w:rsid w:val="006F645E"/>
    <w:rsid w:val="00701B6F"/>
    <w:rsid w:val="0070293A"/>
    <w:rsid w:val="00703A58"/>
    <w:rsid w:val="00703B31"/>
    <w:rsid w:val="0070405D"/>
    <w:rsid w:val="007042FC"/>
    <w:rsid w:val="00704580"/>
    <w:rsid w:val="00705322"/>
    <w:rsid w:val="00706029"/>
    <w:rsid w:val="0071030C"/>
    <w:rsid w:val="00711052"/>
    <w:rsid w:val="007111C4"/>
    <w:rsid w:val="00712795"/>
    <w:rsid w:val="00713D6E"/>
    <w:rsid w:val="00714521"/>
    <w:rsid w:val="00715305"/>
    <w:rsid w:val="007154C6"/>
    <w:rsid w:val="0071553E"/>
    <w:rsid w:val="00716515"/>
    <w:rsid w:val="0071664A"/>
    <w:rsid w:val="00716973"/>
    <w:rsid w:val="007171F0"/>
    <w:rsid w:val="00717F4F"/>
    <w:rsid w:val="00720DCB"/>
    <w:rsid w:val="00721F93"/>
    <w:rsid w:val="007229A8"/>
    <w:rsid w:val="007238C1"/>
    <w:rsid w:val="00723E38"/>
    <w:rsid w:val="00726CAC"/>
    <w:rsid w:val="00726F09"/>
    <w:rsid w:val="00727972"/>
    <w:rsid w:val="007301B3"/>
    <w:rsid w:val="00730445"/>
    <w:rsid w:val="00730F1E"/>
    <w:rsid w:val="007319F9"/>
    <w:rsid w:val="00731B71"/>
    <w:rsid w:val="00732649"/>
    <w:rsid w:val="007326AC"/>
    <w:rsid w:val="00733000"/>
    <w:rsid w:val="007330DB"/>
    <w:rsid w:val="007344F4"/>
    <w:rsid w:val="007347B1"/>
    <w:rsid w:val="00734A78"/>
    <w:rsid w:val="00734CCC"/>
    <w:rsid w:val="0073558B"/>
    <w:rsid w:val="007368DF"/>
    <w:rsid w:val="00736F89"/>
    <w:rsid w:val="007373E8"/>
    <w:rsid w:val="00737571"/>
    <w:rsid w:val="00737E33"/>
    <w:rsid w:val="00740F43"/>
    <w:rsid w:val="00740FF1"/>
    <w:rsid w:val="007419E7"/>
    <w:rsid w:val="0074232E"/>
    <w:rsid w:val="00742525"/>
    <w:rsid w:val="00742B9A"/>
    <w:rsid w:val="00743913"/>
    <w:rsid w:val="00743F69"/>
    <w:rsid w:val="00744AB2"/>
    <w:rsid w:val="007455D3"/>
    <w:rsid w:val="00745FBD"/>
    <w:rsid w:val="00747B0C"/>
    <w:rsid w:val="0075078F"/>
    <w:rsid w:val="007530A7"/>
    <w:rsid w:val="007554D1"/>
    <w:rsid w:val="007566A6"/>
    <w:rsid w:val="00756931"/>
    <w:rsid w:val="00756B48"/>
    <w:rsid w:val="00761926"/>
    <w:rsid w:val="00762C4F"/>
    <w:rsid w:val="007637E5"/>
    <w:rsid w:val="00770852"/>
    <w:rsid w:val="0077112C"/>
    <w:rsid w:val="00771D60"/>
    <w:rsid w:val="007723E3"/>
    <w:rsid w:val="007725C9"/>
    <w:rsid w:val="007741D5"/>
    <w:rsid w:val="0077567E"/>
    <w:rsid w:val="00775ADD"/>
    <w:rsid w:val="00776535"/>
    <w:rsid w:val="00776802"/>
    <w:rsid w:val="00776B20"/>
    <w:rsid w:val="00780F93"/>
    <w:rsid w:val="00782E71"/>
    <w:rsid w:val="00783C15"/>
    <w:rsid w:val="00786154"/>
    <w:rsid w:val="00786E12"/>
    <w:rsid w:val="00787E76"/>
    <w:rsid w:val="007916DD"/>
    <w:rsid w:val="0079175E"/>
    <w:rsid w:val="00791775"/>
    <w:rsid w:val="00793968"/>
    <w:rsid w:val="0079396C"/>
    <w:rsid w:val="0079443F"/>
    <w:rsid w:val="007952C3"/>
    <w:rsid w:val="00795AEC"/>
    <w:rsid w:val="00796037"/>
    <w:rsid w:val="0079665B"/>
    <w:rsid w:val="007967F8"/>
    <w:rsid w:val="00797137"/>
    <w:rsid w:val="00797604"/>
    <w:rsid w:val="00797871"/>
    <w:rsid w:val="00797E69"/>
    <w:rsid w:val="00797FE3"/>
    <w:rsid w:val="007A021C"/>
    <w:rsid w:val="007A2702"/>
    <w:rsid w:val="007A3146"/>
    <w:rsid w:val="007A43FD"/>
    <w:rsid w:val="007A7AF1"/>
    <w:rsid w:val="007B044F"/>
    <w:rsid w:val="007B169B"/>
    <w:rsid w:val="007B1E0A"/>
    <w:rsid w:val="007B217C"/>
    <w:rsid w:val="007B26FF"/>
    <w:rsid w:val="007B5DE1"/>
    <w:rsid w:val="007B6812"/>
    <w:rsid w:val="007C00A9"/>
    <w:rsid w:val="007C05BE"/>
    <w:rsid w:val="007C0DE2"/>
    <w:rsid w:val="007C3A29"/>
    <w:rsid w:val="007C3E55"/>
    <w:rsid w:val="007C590A"/>
    <w:rsid w:val="007C5CCB"/>
    <w:rsid w:val="007C64C5"/>
    <w:rsid w:val="007C67E7"/>
    <w:rsid w:val="007C6883"/>
    <w:rsid w:val="007D247B"/>
    <w:rsid w:val="007D2A03"/>
    <w:rsid w:val="007D3714"/>
    <w:rsid w:val="007D3F0B"/>
    <w:rsid w:val="007D4FE9"/>
    <w:rsid w:val="007D51E5"/>
    <w:rsid w:val="007D5AAE"/>
    <w:rsid w:val="007D6894"/>
    <w:rsid w:val="007D797D"/>
    <w:rsid w:val="007E1055"/>
    <w:rsid w:val="007E2766"/>
    <w:rsid w:val="007E6DC3"/>
    <w:rsid w:val="007E7334"/>
    <w:rsid w:val="007F03B5"/>
    <w:rsid w:val="007F0F25"/>
    <w:rsid w:val="007F13C4"/>
    <w:rsid w:val="007F1A01"/>
    <w:rsid w:val="007F2C52"/>
    <w:rsid w:val="007F35A0"/>
    <w:rsid w:val="007F412B"/>
    <w:rsid w:val="007F48F3"/>
    <w:rsid w:val="007F5147"/>
    <w:rsid w:val="007F5160"/>
    <w:rsid w:val="007F795A"/>
    <w:rsid w:val="008005EC"/>
    <w:rsid w:val="00801DB6"/>
    <w:rsid w:val="00801FA6"/>
    <w:rsid w:val="0080204F"/>
    <w:rsid w:val="0080258F"/>
    <w:rsid w:val="00802A52"/>
    <w:rsid w:val="00802B9A"/>
    <w:rsid w:val="0080549E"/>
    <w:rsid w:val="0080628D"/>
    <w:rsid w:val="008067ED"/>
    <w:rsid w:val="0081043E"/>
    <w:rsid w:val="00810643"/>
    <w:rsid w:val="0081090C"/>
    <w:rsid w:val="00815EC4"/>
    <w:rsid w:val="00816BFD"/>
    <w:rsid w:val="008174DE"/>
    <w:rsid w:val="00817ED6"/>
    <w:rsid w:val="00817FAD"/>
    <w:rsid w:val="008201C1"/>
    <w:rsid w:val="00821E79"/>
    <w:rsid w:val="00822E6B"/>
    <w:rsid w:val="00823C75"/>
    <w:rsid w:val="0082412F"/>
    <w:rsid w:val="0082454D"/>
    <w:rsid w:val="008251AC"/>
    <w:rsid w:val="0082796F"/>
    <w:rsid w:val="00830FC5"/>
    <w:rsid w:val="00831E03"/>
    <w:rsid w:val="00836537"/>
    <w:rsid w:val="00836AB7"/>
    <w:rsid w:val="0084115F"/>
    <w:rsid w:val="00841660"/>
    <w:rsid w:val="00841EE5"/>
    <w:rsid w:val="00843CAE"/>
    <w:rsid w:val="0084442D"/>
    <w:rsid w:val="00845FE7"/>
    <w:rsid w:val="008501D2"/>
    <w:rsid w:val="00850D1B"/>
    <w:rsid w:val="008531C2"/>
    <w:rsid w:val="00853E16"/>
    <w:rsid w:val="008557DF"/>
    <w:rsid w:val="0085645D"/>
    <w:rsid w:val="008604E5"/>
    <w:rsid w:val="00861983"/>
    <w:rsid w:val="00861FE5"/>
    <w:rsid w:val="00862E30"/>
    <w:rsid w:val="00864160"/>
    <w:rsid w:val="00864524"/>
    <w:rsid w:val="00864AD6"/>
    <w:rsid w:val="008708E9"/>
    <w:rsid w:val="00870D17"/>
    <w:rsid w:val="008716E5"/>
    <w:rsid w:val="00873036"/>
    <w:rsid w:val="00874CDC"/>
    <w:rsid w:val="00875104"/>
    <w:rsid w:val="0087677C"/>
    <w:rsid w:val="0088020C"/>
    <w:rsid w:val="00883971"/>
    <w:rsid w:val="00883C0D"/>
    <w:rsid w:val="00886834"/>
    <w:rsid w:val="00886E11"/>
    <w:rsid w:val="00887100"/>
    <w:rsid w:val="00890140"/>
    <w:rsid w:val="008904CF"/>
    <w:rsid w:val="00890D39"/>
    <w:rsid w:val="00891660"/>
    <w:rsid w:val="008917F2"/>
    <w:rsid w:val="00891D88"/>
    <w:rsid w:val="00891E99"/>
    <w:rsid w:val="008920EC"/>
    <w:rsid w:val="00893BD4"/>
    <w:rsid w:val="00895A97"/>
    <w:rsid w:val="00896095"/>
    <w:rsid w:val="008968A4"/>
    <w:rsid w:val="008A069F"/>
    <w:rsid w:val="008A17BF"/>
    <w:rsid w:val="008A20B6"/>
    <w:rsid w:val="008A4B78"/>
    <w:rsid w:val="008A56F4"/>
    <w:rsid w:val="008A58DD"/>
    <w:rsid w:val="008A5B9B"/>
    <w:rsid w:val="008A732E"/>
    <w:rsid w:val="008A7E09"/>
    <w:rsid w:val="008B0498"/>
    <w:rsid w:val="008B1B54"/>
    <w:rsid w:val="008B1D8E"/>
    <w:rsid w:val="008B3616"/>
    <w:rsid w:val="008B3C86"/>
    <w:rsid w:val="008B3D03"/>
    <w:rsid w:val="008B47A3"/>
    <w:rsid w:val="008B574B"/>
    <w:rsid w:val="008C5AD8"/>
    <w:rsid w:val="008C6014"/>
    <w:rsid w:val="008C65B5"/>
    <w:rsid w:val="008C68B7"/>
    <w:rsid w:val="008C6A88"/>
    <w:rsid w:val="008C7D9D"/>
    <w:rsid w:val="008D07E3"/>
    <w:rsid w:val="008D230D"/>
    <w:rsid w:val="008D2985"/>
    <w:rsid w:val="008D2F7A"/>
    <w:rsid w:val="008D3360"/>
    <w:rsid w:val="008D3743"/>
    <w:rsid w:val="008D3E16"/>
    <w:rsid w:val="008D4B06"/>
    <w:rsid w:val="008D62BB"/>
    <w:rsid w:val="008D6ACD"/>
    <w:rsid w:val="008D6D0E"/>
    <w:rsid w:val="008E47F3"/>
    <w:rsid w:val="008E4841"/>
    <w:rsid w:val="008E4AFA"/>
    <w:rsid w:val="008E6543"/>
    <w:rsid w:val="008E65A2"/>
    <w:rsid w:val="008E6A7B"/>
    <w:rsid w:val="008E6F3F"/>
    <w:rsid w:val="008E7148"/>
    <w:rsid w:val="008E71A8"/>
    <w:rsid w:val="008F1138"/>
    <w:rsid w:val="008F3734"/>
    <w:rsid w:val="008F3A90"/>
    <w:rsid w:val="008F3DEF"/>
    <w:rsid w:val="008F4231"/>
    <w:rsid w:val="008F42E2"/>
    <w:rsid w:val="008F4923"/>
    <w:rsid w:val="008F496A"/>
    <w:rsid w:val="008F55BE"/>
    <w:rsid w:val="008F6FC8"/>
    <w:rsid w:val="008F7000"/>
    <w:rsid w:val="00901152"/>
    <w:rsid w:val="009011A9"/>
    <w:rsid w:val="00904673"/>
    <w:rsid w:val="0091048C"/>
    <w:rsid w:val="00910F73"/>
    <w:rsid w:val="0091179F"/>
    <w:rsid w:val="009127A9"/>
    <w:rsid w:val="009138FE"/>
    <w:rsid w:val="00913E1D"/>
    <w:rsid w:val="00914D01"/>
    <w:rsid w:val="00915263"/>
    <w:rsid w:val="009158C4"/>
    <w:rsid w:val="00916DCF"/>
    <w:rsid w:val="00916F91"/>
    <w:rsid w:val="00921538"/>
    <w:rsid w:val="0092175E"/>
    <w:rsid w:val="00921C07"/>
    <w:rsid w:val="0092506C"/>
    <w:rsid w:val="0092507C"/>
    <w:rsid w:val="009254F9"/>
    <w:rsid w:val="00925E23"/>
    <w:rsid w:val="009267AD"/>
    <w:rsid w:val="009277DD"/>
    <w:rsid w:val="009301E2"/>
    <w:rsid w:val="00930D9E"/>
    <w:rsid w:val="00930DA6"/>
    <w:rsid w:val="00931914"/>
    <w:rsid w:val="00931AD3"/>
    <w:rsid w:val="00933DB4"/>
    <w:rsid w:val="009343E4"/>
    <w:rsid w:val="0093456F"/>
    <w:rsid w:val="009356D0"/>
    <w:rsid w:val="00937059"/>
    <w:rsid w:val="00940278"/>
    <w:rsid w:val="00940FB2"/>
    <w:rsid w:val="00941C0F"/>
    <w:rsid w:val="00943690"/>
    <w:rsid w:val="00943CAA"/>
    <w:rsid w:val="00944491"/>
    <w:rsid w:val="009459E4"/>
    <w:rsid w:val="00946BB2"/>
    <w:rsid w:val="00950382"/>
    <w:rsid w:val="009506AF"/>
    <w:rsid w:val="00950942"/>
    <w:rsid w:val="00951507"/>
    <w:rsid w:val="009517AD"/>
    <w:rsid w:val="00952570"/>
    <w:rsid w:val="009527C7"/>
    <w:rsid w:val="0095531B"/>
    <w:rsid w:val="009557D0"/>
    <w:rsid w:val="009561C7"/>
    <w:rsid w:val="00957FBD"/>
    <w:rsid w:val="009602E3"/>
    <w:rsid w:val="00960B6B"/>
    <w:rsid w:val="00961DD7"/>
    <w:rsid w:val="009623AF"/>
    <w:rsid w:val="00962E94"/>
    <w:rsid w:val="0096323E"/>
    <w:rsid w:val="00963658"/>
    <w:rsid w:val="009644DF"/>
    <w:rsid w:val="009651F5"/>
    <w:rsid w:val="00967757"/>
    <w:rsid w:val="00967D98"/>
    <w:rsid w:val="009708A7"/>
    <w:rsid w:val="00970AF2"/>
    <w:rsid w:val="009724DB"/>
    <w:rsid w:val="00973F6A"/>
    <w:rsid w:val="00973F86"/>
    <w:rsid w:val="00974F5B"/>
    <w:rsid w:val="00975CFF"/>
    <w:rsid w:val="0097619C"/>
    <w:rsid w:val="00977B63"/>
    <w:rsid w:val="0098097C"/>
    <w:rsid w:val="00980A9E"/>
    <w:rsid w:val="00980BDF"/>
    <w:rsid w:val="00981664"/>
    <w:rsid w:val="00981742"/>
    <w:rsid w:val="0098177B"/>
    <w:rsid w:val="00981C01"/>
    <w:rsid w:val="009840C9"/>
    <w:rsid w:val="00984B14"/>
    <w:rsid w:val="0098520A"/>
    <w:rsid w:val="00986788"/>
    <w:rsid w:val="00986E5E"/>
    <w:rsid w:val="00991849"/>
    <w:rsid w:val="0099292E"/>
    <w:rsid w:val="00993275"/>
    <w:rsid w:val="0099566F"/>
    <w:rsid w:val="009962F7"/>
    <w:rsid w:val="00996339"/>
    <w:rsid w:val="009965D6"/>
    <w:rsid w:val="0099712C"/>
    <w:rsid w:val="009A0AF6"/>
    <w:rsid w:val="009A122E"/>
    <w:rsid w:val="009A2139"/>
    <w:rsid w:val="009A31BB"/>
    <w:rsid w:val="009A37AF"/>
    <w:rsid w:val="009A44EB"/>
    <w:rsid w:val="009B053E"/>
    <w:rsid w:val="009B21F9"/>
    <w:rsid w:val="009B2642"/>
    <w:rsid w:val="009B33AD"/>
    <w:rsid w:val="009B50C0"/>
    <w:rsid w:val="009B57B8"/>
    <w:rsid w:val="009B5AC9"/>
    <w:rsid w:val="009B69CB"/>
    <w:rsid w:val="009B6E4F"/>
    <w:rsid w:val="009B7D1E"/>
    <w:rsid w:val="009C076E"/>
    <w:rsid w:val="009C189B"/>
    <w:rsid w:val="009C3CED"/>
    <w:rsid w:val="009C439E"/>
    <w:rsid w:val="009C5C22"/>
    <w:rsid w:val="009C7DD1"/>
    <w:rsid w:val="009D2007"/>
    <w:rsid w:val="009D2B97"/>
    <w:rsid w:val="009D5F1D"/>
    <w:rsid w:val="009D629E"/>
    <w:rsid w:val="009D6871"/>
    <w:rsid w:val="009D7536"/>
    <w:rsid w:val="009E1589"/>
    <w:rsid w:val="009E1926"/>
    <w:rsid w:val="009E1FDB"/>
    <w:rsid w:val="009E26DD"/>
    <w:rsid w:val="009E2E5D"/>
    <w:rsid w:val="009E4259"/>
    <w:rsid w:val="009E4859"/>
    <w:rsid w:val="009E497E"/>
    <w:rsid w:val="009E4B75"/>
    <w:rsid w:val="009E5A0D"/>
    <w:rsid w:val="009E6ACF"/>
    <w:rsid w:val="009E6D58"/>
    <w:rsid w:val="009E6DE0"/>
    <w:rsid w:val="009F2125"/>
    <w:rsid w:val="009F2781"/>
    <w:rsid w:val="009F2C8C"/>
    <w:rsid w:val="009F3F4B"/>
    <w:rsid w:val="009F4677"/>
    <w:rsid w:val="009F4E0F"/>
    <w:rsid w:val="009F5C94"/>
    <w:rsid w:val="00A0023A"/>
    <w:rsid w:val="00A02024"/>
    <w:rsid w:val="00A03B9C"/>
    <w:rsid w:val="00A03EF3"/>
    <w:rsid w:val="00A04280"/>
    <w:rsid w:val="00A0431B"/>
    <w:rsid w:val="00A05A52"/>
    <w:rsid w:val="00A10BDC"/>
    <w:rsid w:val="00A11EFC"/>
    <w:rsid w:val="00A12B00"/>
    <w:rsid w:val="00A1381E"/>
    <w:rsid w:val="00A13A2A"/>
    <w:rsid w:val="00A151ED"/>
    <w:rsid w:val="00A15E85"/>
    <w:rsid w:val="00A16538"/>
    <w:rsid w:val="00A22B82"/>
    <w:rsid w:val="00A22E71"/>
    <w:rsid w:val="00A233BA"/>
    <w:rsid w:val="00A23D3E"/>
    <w:rsid w:val="00A25020"/>
    <w:rsid w:val="00A250BB"/>
    <w:rsid w:val="00A254C8"/>
    <w:rsid w:val="00A25DFB"/>
    <w:rsid w:val="00A26A3C"/>
    <w:rsid w:val="00A26D17"/>
    <w:rsid w:val="00A26E85"/>
    <w:rsid w:val="00A27916"/>
    <w:rsid w:val="00A30093"/>
    <w:rsid w:val="00A30963"/>
    <w:rsid w:val="00A33698"/>
    <w:rsid w:val="00A346F5"/>
    <w:rsid w:val="00A34A07"/>
    <w:rsid w:val="00A355E5"/>
    <w:rsid w:val="00A36695"/>
    <w:rsid w:val="00A42588"/>
    <w:rsid w:val="00A453E8"/>
    <w:rsid w:val="00A509E6"/>
    <w:rsid w:val="00A515BF"/>
    <w:rsid w:val="00A547BD"/>
    <w:rsid w:val="00A5501D"/>
    <w:rsid w:val="00A558FD"/>
    <w:rsid w:val="00A55CB8"/>
    <w:rsid w:val="00A57153"/>
    <w:rsid w:val="00A61286"/>
    <w:rsid w:val="00A6152A"/>
    <w:rsid w:val="00A61ACD"/>
    <w:rsid w:val="00A61B13"/>
    <w:rsid w:val="00A62FAC"/>
    <w:rsid w:val="00A63A51"/>
    <w:rsid w:val="00A651CD"/>
    <w:rsid w:val="00A66E07"/>
    <w:rsid w:val="00A67AFF"/>
    <w:rsid w:val="00A70313"/>
    <w:rsid w:val="00A70AE7"/>
    <w:rsid w:val="00A7117F"/>
    <w:rsid w:val="00A71561"/>
    <w:rsid w:val="00A71802"/>
    <w:rsid w:val="00A732CE"/>
    <w:rsid w:val="00A73563"/>
    <w:rsid w:val="00A73BF7"/>
    <w:rsid w:val="00A73EE9"/>
    <w:rsid w:val="00A7440D"/>
    <w:rsid w:val="00A74A72"/>
    <w:rsid w:val="00A75253"/>
    <w:rsid w:val="00A75A97"/>
    <w:rsid w:val="00A767FC"/>
    <w:rsid w:val="00A76AAE"/>
    <w:rsid w:val="00A77ACA"/>
    <w:rsid w:val="00A80336"/>
    <w:rsid w:val="00A80EE7"/>
    <w:rsid w:val="00A813ED"/>
    <w:rsid w:val="00A815B5"/>
    <w:rsid w:val="00A8163E"/>
    <w:rsid w:val="00A8276D"/>
    <w:rsid w:val="00A8353D"/>
    <w:rsid w:val="00A83574"/>
    <w:rsid w:val="00A83E7A"/>
    <w:rsid w:val="00A85673"/>
    <w:rsid w:val="00A87DBF"/>
    <w:rsid w:val="00A921DF"/>
    <w:rsid w:val="00A951FE"/>
    <w:rsid w:val="00A9522F"/>
    <w:rsid w:val="00A95963"/>
    <w:rsid w:val="00A95BAC"/>
    <w:rsid w:val="00A96A71"/>
    <w:rsid w:val="00A971C1"/>
    <w:rsid w:val="00AA1148"/>
    <w:rsid w:val="00AA1627"/>
    <w:rsid w:val="00AA7B2B"/>
    <w:rsid w:val="00AB0A37"/>
    <w:rsid w:val="00AB13EB"/>
    <w:rsid w:val="00AB1595"/>
    <w:rsid w:val="00AB1862"/>
    <w:rsid w:val="00AB226D"/>
    <w:rsid w:val="00AB4A6B"/>
    <w:rsid w:val="00AB4AA4"/>
    <w:rsid w:val="00AB7555"/>
    <w:rsid w:val="00AC0A72"/>
    <w:rsid w:val="00AC0E4B"/>
    <w:rsid w:val="00AC2A84"/>
    <w:rsid w:val="00AC36B3"/>
    <w:rsid w:val="00AC40AE"/>
    <w:rsid w:val="00AC4EDE"/>
    <w:rsid w:val="00AC55D9"/>
    <w:rsid w:val="00AC72E3"/>
    <w:rsid w:val="00AD17FD"/>
    <w:rsid w:val="00AD4079"/>
    <w:rsid w:val="00AD45FE"/>
    <w:rsid w:val="00AD67A5"/>
    <w:rsid w:val="00AD79B2"/>
    <w:rsid w:val="00AD7BD2"/>
    <w:rsid w:val="00AE21C0"/>
    <w:rsid w:val="00AE2DA7"/>
    <w:rsid w:val="00AE32BB"/>
    <w:rsid w:val="00AE372B"/>
    <w:rsid w:val="00AE483A"/>
    <w:rsid w:val="00AE4DF8"/>
    <w:rsid w:val="00AF1314"/>
    <w:rsid w:val="00AF2555"/>
    <w:rsid w:val="00AF2A95"/>
    <w:rsid w:val="00AF402E"/>
    <w:rsid w:val="00AF484D"/>
    <w:rsid w:val="00AF7354"/>
    <w:rsid w:val="00AF76C5"/>
    <w:rsid w:val="00B01DAA"/>
    <w:rsid w:val="00B02C17"/>
    <w:rsid w:val="00B03B4C"/>
    <w:rsid w:val="00B058DB"/>
    <w:rsid w:val="00B0663B"/>
    <w:rsid w:val="00B06ADB"/>
    <w:rsid w:val="00B07224"/>
    <w:rsid w:val="00B1083E"/>
    <w:rsid w:val="00B12DE8"/>
    <w:rsid w:val="00B134FD"/>
    <w:rsid w:val="00B13680"/>
    <w:rsid w:val="00B13724"/>
    <w:rsid w:val="00B13E02"/>
    <w:rsid w:val="00B15749"/>
    <w:rsid w:val="00B165A2"/>
    <w:rsid w:val="00B166B4"/>
    <w:rsid w:val="00B2205B"/>
    <w:rsid w:val="00B22F83"/>
    <w:rsid w:val="00B230BF"/>
    <w:rsid w:val="00B24735"/>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676"/>
    <w:rsid w:val="00B41D79"/>
    <w:rsid w:val="00B420A2"/>
    <w:rsid w:val="00B420E5"/>
    <w:rsid w:val="00B451E9"/>
    <w:rsid w:val="00B45BD2"/>
    <w:rsid w:val="00B45DF4"/>
    <w:rsid w:val="00B50499"/>
    <w:rsid w:val="00B50DBA"/>
    <w:rsid w:val="00B51D90"/>
    <w:rsid w:val="00B537BB"/>
    <w:rsid w:val="00B54B81"/>
    <w:rsid w:val="00B557F4"/>
    <w:rsid w:val="00B55E7C"/>
    <w:rsid w:val="00B579F7"/>
    <w:rsid w:val="00B61903"/>
    <w:rsid w:val="00B63DE5"/>
    <w:rsid w:val="00B65A19"/>
    <w:rsid w:val="00B65D20"/>
    <w:rsid w:val="00B666A6"/>
    <w:rsid w:val="00B668E6"/>
    <w:rsid w:val="00B673FD"/>
    <w:rsid w:val="00B67934"/>
    <w:rsid w:val="00B71417"/>
    <w:rsid w:val="00B71988"/>
    <w:rsid w:val="00B73C81"/>
    <w:rsid w:val="00B74DC6"/>
    <w:rsid w:val="00B750E6"/>
    <w:rsid w:val="00B755FA"/>
    <w:rsid w:val="00B75689"/>
    <w:rsid w:val="00B76CA8"/>
    <w:rsid w:val="00B804CF"/>
    <w:rsid w:val="00B81CA0"/>
    <w:rsid w:val="00B82C97"/>
    <w:rsid w:val="00B87C06"/>
    <w:rsid w:val="00B87F74"/>
    <w:rsid w:val="00B90C78"/>
    <w:rsid w:val="00B91AE7"/>
    <w:rsid w:val="00B938E9"/>
    <w:rsid w:val="00B94191"/>
    <w:rsid w:val="00B94EB2"/>
    <w:rsid w:val="00B95666"/>
    <w:rsid w:val="00B966F1"/>
    <w:rsid w:val="00BA09EF"/>
    <w:rsid w:val="00BA0C10"/>
    <w:rsid w:val="00BA0C81"/>
    <w:rsid w:val="00BA1200"/>
    <w:rsid w:val="00BA1358"/>
    <w:rsid w:val="00BA26FF"/>
    <w:rsid w:val="00BA2B95"/>
    <w:rsid w:val="00BA3179"/>
    <w:rsid w:val="00BA341A"/>
    <w:rsid w:val="00BA3790"/>
    <w:rsid w:val="00BA39BF"/>
    <w:rsid w:val="00BA5121"/>
    <w:rsid w:val="00BA73EA"/>
    <w:rsid w:val="00BA74A0"/>
    <w:rsid w:val="00BB2FA4"/>
    <w:rsid w:val="00BB2FC5"/>
    <w:rsid w:val="00BB3A32"/>
    <w:rsid w:val="00BB3B15"/>
    <w:rsid w:val="00BB57A7"/>
    <w:rsid w:val="00BB69F1"/>
    <w:rsid w:val="00BB6F66"/>
    <w:rsid w:val="00BC0861"/>
    <w:rsid w:val="00BC5D14"/>
    <w:rsid w:val="00BC794F"/>
    <w:rsid w:val="00BD19BC"/>
    <w:rsid w:val="00BD58E5"/>
    <w:rsid w:val="00BD64E7"/>
    <w:rsid w:val="00BD69F4"/>
    <w:rsid w:val="00BD6B46"/>
    <w:rsid w:val="00BD748E"/>
    <w:rsid w:val="00BE0D29"/>
    <w:rsid w:val="00BE116B"/>
    <w:rsid w:val="00BE268E"/>
    <w:rsid w:val="00BE33AC"/>
    <w:rsid w:val="00BE34C9"/>
    <w:rsid w:val="00BE3ABB"/>
    <w:rsid w:val="00BE3DD6"/>
    <w:rsid w:val="00BE433A"/>
    <w:rsid w:val="00BE4B7B"/>
    <w:rsid w:val="00BE57A5"/>
    <w:rsid w:val="00BE5E73"/>
    <w:rsid w:val="00BF0606"/>
    <w:rsid w:val="00BF4275"/>
    <w:rsid w:val="00BF57DC"/>
    <w:rsid w:val="00BF6CBE"/>
    <w:rsid w:val="00BF6E60"/>
    <w:rsid w:val="00BF78A4"/>
    <w:rsid w:val="00C0006B"/>
    <w:rsid w:val="00C0185D"/>
    <w:rsid w:val="00C01DEA"/>
    <w:rsid w:val="00C01E0A"/>
    <w:rsid w:val="00C02713"/>
    <w:rsid w:val="00C036D7"/>
    <w:rsid w:val="00C04318"/>
    <w:rsid w:val="00C0486A"/>
    <w:rsid w:val="00C0576F"/>
    <w:rsid w:val="00C05C01"/>
    <w:rsid w:val="00C05F47"/>
    <w:rsid w:val="00C069D8"/>
    <w:rsid w:val="00C0706A"/>
    <w:rsid w:val="00C07B88"/>
    <w:rsid w:val="00C106BA"/>
    <w:rsid w:val="00C1081B"/>
    <w:rsid w:val="00C1088A"/>
    <w:rsid w:val="00C10C0A"/>
    <w:rsid w:val="00C117C7"/>
    <w:rsid w:val="00C160D6"/>
    <w:rsid w:val="00C16409"/>
    <w:rsid w:val="00C20BA7"/>
    <w:rsid w:val="00C20C27"/>
    <w:rsid w:val="00C21C89"/>
    <w:rsid w:val="00C234CE"/>
    <w:rsid w:val="00C24261"/>
    <w:rsid w:val="00C26710"/>
    <w:rsid w:val="00C26D0E"/>
    <w:rsid w:val="00C26DB6"/>
    <w:rsid w:val="00C27729"/>
    <w:rsid w:val="00C27F9A"/>
    <w:rsid w:val="00C32140"/>
    <w:rsid w:val="00C3352D"/>
    <w:rsid w:val="00C3448A"/>
    <w:rsid w:val="00C364BE"/>
    <w:rsid w:val="00C404BB"/>
    <w:rsid w:val="00C41CD2"/>
    <w:rsid w:val="00C43C92"/>
    <w:rsid w:val="00C4502A"/>
    <w:rsid w:val="00C46AFB"/>
    <w:rsid w:val="00C46E8E"/>
    <w:rsid w:val="00C50307"/>
    <w:rsid w:val="00C51A89"/>
    <w:rsid w:val="00C53288"/>
    <w:rsid w:val="00C53351"/>
    <w:rsid w:val="00C5340B"/>
    <w:rsid w:val="00C53790"/>
    <w:rsid w:val="00C53920"/>
    <w:rsid w:val="00C53AEA"/>
    <w:rsid w:val="00C550D6"/>
    <w:rsid w:val="00C5547E"/>
    <w:rsid w:val="00C6042B"/>
    <w:rsid w:val="00C60EBD"/>
    <w:rsid w:val="00C60F29"/>
    <w:rsid w:val="00C61B15"/>
    <w:rsid w:val="00C620A1"/>
    <w:rsid w:val="00C62FC8"/>
    <w:rsid w:val="00C63695"/>
    <w:rsid w:val="00C639B2"/>
    <w:rsid w:val="00C64481"/>
    <w:rsid w:val="00C644CC"/>
    <w:rsid w:val="00C66ABB"/>
    <w:rsid w:val="00C67060"/>
    <w:rsid w:val="00C67550"/>
    <w:rsid w:val="00C703C2"/>
    <w:rsid w:val="00C7071B"/>
    <w:rsid w:val="00C70836"/>
    <w:rsid w:val="00C7287A"/>
    <w:rsid w:val="00C72F72"/>
    <w:rsid w:val="00C7329E"/>
    <w:rsid w:val="00C74E9A"/>
    <w:rsid w:val="00C75CDC"/>
    <w:rsid w:val="00C77BA5"/>
    <w:rsid w:val="00C80500"/>
    <w:rsid w:val="00C829E3"/>
    <w:rsid w:val="00C82F4A"/>
    <w:rsid w:val="00C83B7E"/>
    <w:rsid w:val="00C84BA2"/>
    <w:rsid w:val="00C851D8"/>
    <w:rsid w:val="00C856A9"/>
    <w:rsid w:val="00C85B40"/>
    <w:rsid w:val="00C85DB7"/>
    <w:rsid w:val="00C872DC"/>
    <w:rsid w:val="00C87345"/>
    <w:rsid w:val="00C87507"/>
    <w:rsid w:val="00C90EB5"/>
    <w:rsid w:val="00C912CC"/>
    <w:rsid w:val="00C91E38"/>
    <w:rsid w:val="00C92F80"/>
    <w:rsid w:val="00C95B70"/>
    <w:rsid w:val="00C963F9"/>
    <w:rsid w:val="00C97071"/>
    <w:rsid w:val="00C97402"/>
    <w:rsid w:val="00C97744"/>
    <w:rsid w:val="00C97A68"/>
    <w:rsid w:val="00CA0B37"/>
    <w:rsid w:val="00CA112E"/>
    <w:rsid w:val="00CA18C6"/>
    <w:rsid w:val="00CA2575"/>
    <w:rsid w:val="00CA35AF"/>
    <w:rsid w:val="00CA4A3F"/>
    <w:rsid w:val="00CA4C33"/>
    <w:rsid w:val="00CA71B9"/>
    <w:rsid w:val="00CA71FA"/>
    <w:rsid w:val="00CA7DAA"/>
    <w:rsid w:val="00CA7F9A"/>
    <w:rsid w:val="00CB04F1"/>
    <w:rsid w:val="00CB0562"/>
    <w:rsid w:val="00CB0BFF"/>
    <w:rsid w:val="00CB1E9C"/>
    <w:rsid w:val="00CB2FB1"/>
    <w:rsid w:val="00CB35CD"/>
    <w:rsid w:val="00CB4CB6"/>
    <w:rsid w:val="00CB79B7"/>
    <w:rsid w:val="00CC004D"/>
    <w:rsid w:val="00CC068A"/>
    <w:rsid w:val="00CC0BDB"/>
    <w:rsid w:val="00CC14B1"/>
    <w:rsid w:val="00CC454E"/>
    <w:rsid w:val="00CC5072"/>
    <w:rsid w:val="00CC6367"/>
    <w:rsid w:val="00CC685A"/>
    <w:rsid w:val="00CC6F69"/>
    <w:rsid w:val="00CD055D"/>
    <w:rsid w:val="00CD1A94"/>
    <w:rsid w:val="00CD3DD4"/>
    <w:rsid w:val="00CD4268"/>
    <w:rsid w:val="00CD478C"/>
    <w:rsid w:val="00CD4B84"/>
    <w:rsid w:val="00CD4DE5"/>
    <w:rsid w:val="00CD5395"/>
    <w:rsid w:val="00CD6F3C"/>
    <w:rsid w:val="00CD7481"/>
    <w:rsid w:val="00CE089F"/>
    <w:rsid w:val="00CE0CC4"/>
    <w:rsid w:val="00CE2FFB"/>
    <w:rsid w:val="00CE40F6"/>
    <w:rsid w:val="00CE419F"/>
    <w:rsid w:val="00CE5C5F"/>
    <w:rsid w:val="00CE654F"/>
    <w:rsid w:val="00CE6AC5"/>
    <w:rsid w:val="00CE7B5D"/>
    <w:rsid w:val="00CE7CC3"/>
    <w:rsid w:val="00CE7EFA"/>
    <w:rsid w:val="00CE7FAF"/>
    <w:rsid w:val="00CF128A"/>
    <w:rsid w:val="00CF1718"/>
    <w:rsid w:val="00CF24F2"/>
    <w:rsid w:val="00CF29B5"/>
    <w:rsid w:val="00CF377C"/>
    <w:rsid w:val="00CF3A28"/>
    <w:rsid w:val="00CF4DF9"/>
    <w:rsid w:val="00CF6FC5"/>
    <w:rsid w:val="00CF735E"/>
    <w:rsid w:val="00CF7841"/>
    <w:rsid w:val="00D00D2E"/>
    <w:rsid w:val="00D00F55"/>
    <w:rsid w:val="00D0139B"/>
    <w:rsid w:val="00D014E7"/>
    <w:rsid w:val="00D023A6"/>
    <w:rsid w:val="00D0274F"/>
    <w:rsid w:val="00D02FCA"/>
    <w:rsid w:val="00D0412E"/>
    <w:rsid w:val="00D04A35"/>
    <w:rsid w:val="00D04D3A"/>
    <w:rsid w:val="00D051D7"/>
    <w:rsid w:val="00D0615A"/>
    <w:rsid w:val="00D061C9"/>
    <w:rsid w:val="00D06DA2"/>
    <w:rsid w:val="00D11559"/>
    <w:rsid w:val="00D12C0D"/>
    <w:rsid w:val="00D13E6E"/>
    <w:rsid w:val="00D14C67"/>
    <w:rsid w:val="00D14FC0"/>
    <w:rsid w:val="00D15500"/>
    <w:rsid w:val="00D1580E"/>
    <w:rsid w:val="00D16745"/>
    <w:rsid w:val="00D17B05"/>
    <w:rsid w:val="00D2036F"/>
    <w:rsid w:val="00D20C25"/>
    <w:rsid w:val="00D218A0"/>
    <w:rsid w:val="00D22BE3"/>
    <w:rsid w:val="00D244F3"/>
    <w:rsid w:val="00D27FFA"/>
    <w:rsid w:val="00D3045D"/>
    <w:rsid w:val="00D30652"/>
    <w:rsid w:val="00D30DD2"/>
    <w:rsid w:val="00D3189D"/>
    <w:rsid w:val="00D3310C"/>
    <w:rsid w:val="00D369AC"/>
    <w:rsid w:val="00D402B7"/>
    <w:rsid w:val="00D40501"/>
    <w:rsid w:val="00D41153"/>
    <w:rsid w:val="00D41844"/>
    <w:rsid w:val="00D430EE"/>
    <w:rsid w:val="00D432B0"/>
    <w:rsid w:val="00D43EB1"/>
    <w:rsid w:val="00D44E1E"/>
    <w:rsid w:val="00D453A5"/>
    <w:rsid w:val="00D46571"/>
    <w:rsid w:val="00D475BD"/>
    <w:rsid w:val="00D47A60"/>
    <w:rsid w:val="00D50BAC"/>
    <w:rsid w:val="00D50FCE"/>
    <w:rsid w:val="00D52204"/>
    <w:rsid w:val="00D5301A"/>
    <w:rsid w:val="00D53448"/>
    <w:rsid w:val="00D54842"/>
    <w:rsid w:val="00D5503E"/>
    <w:rsid w:val="00D56833"/>
    <w:rsid w:val="00D600B9"/>
    <w:rsid w:val="00D60350"/>
    <w:rsid w:val="00D6053F"/>
    <w:rsid w:val="00D61A48"/>
    <w:rsid w:val="00D65060"/>
    <w:rsid w:val="00D65BFD"/>
    <w:rsid w:val="00D66F08"/>
    <w:rsid w:val="00D6704B"/>
    <w:rsid w:val="00D67B71"/>
    <w:rsid w:val="00D70EE9"/>
    <w:rsid w:val="00D7104D"/>
    <w:rsid w:val="00D71C98"/>
    <w:rsid w:val="00D7214D"/>
    <w:rsid w:val="00D72CF0"/>
    <w:rsid w:val="00D72D7C"/>
    <w:rsid w:val="00D744DA"/>
    <w:rsid w:val="00D75CD5"/>
    <w:rsid w:val="00D75E76"/>
    <w:rsid w:val="00D76061"/>
    <w:rsid w:val="00D77413"/>
    <w:rsid w:val="00D81ADF"/>
    <w:rsid w:val="00D82B49"/>
    <w:rsid w:val="00D836B7"/>
    <w:rsid w:val="00D840D3"/>
    <w:rsid w:val="00D84FC7"/>
    <w:rsid w:val="00D8508B"/>
    <w:rsid w:val="00D865AB"/>
    <w:rsid w:val="00D904F2"/>
    <w:rsid w:val="00D90FFD"/>
    <w:rsid w:val="00D91DCA"/>
    <w:rsid w:val="00D926D3"/>
    <w:rsid w:val="00D92CDB"/>
    <w:rsid w:val="00D94393"/>
    <w:rsid w:val="00D944F7"/>
    <w:rsid w:val="00D95EE9"/>
    <w:rsid w:val="00D97BFD"/>
    <w:rsid w:val="00DA02A2"/>
    <w:rsid w:val="00DA16F4"/>
    <w:rsid w:val="00DA3074"/>
    <w:rsid w:val="00DA55FB"/>
    <w:rsid w:val="00DA5F5E"/>
    <w:rsid w:val="00DA7009"/>
    <w:rsid w:val="00DA7B7A"/>
    <w:rsid w:val="00DB110E"/>
    <w:rsid w:val="00DB211F"/>
    <w:rsid w:val="00DB23A0"/>
    <w:rsid w:val="00DB23FA"/>
    <w:rsid w:val="00DB399D"/>
    <w:rsid w:val="00DB4984"/>
    <w:rsid w:val="00DB739D"/>
    <w:rsid w:val="00DC131C"/>
    <w:rsid w:val="00DC1F6E"/>
    <w:rsid w:val="00DC2F87"/>
    <w:rsid w:val="00DC337A"/>
    <w:rsid w:val="00DC36CE"/>
    <w:rsid w:val="00DC3B70"/>
    <w:rsid w:val="00DC5102"/>
    <w:rsid w:val="00DC5F65"/>
    <w:rsid w:val="00DC61FA"/>
    <w:rsid w:val="00DC680F"/>
    <w:rsid w:val="00DC6CB1"/>
    <w:rsid w:val="00DD056A"/>
    <w:rsid w:val="00DD08A2"/>
    <w:rsid w:val="00DD0DC4"/>
    <w:rsid w:val="00DD11A8"/>
    <w:rsid w:val="00DD2F64"/>
    <w:rsid w:val="00DD34DD"/>
    <w:rsid w:val="00DD4612"/>
    <w:rsid w:val="00DE4B65"/>
    <w:rsid w:val="00DE4FDC"/>
    <w:rsid w:val="00DE5ACC"/>
    <w:rsid w:val="00DE6093"/>
    <w:rsid w:val="00DE649A"/>
    <w:rsid w:val="00DE74E5"/>
    <w:rsid w:val="00DE7DA1"/>
    <w:rsid w:val="00DF00E1"/>
    <w:rsid w:val="00DF034F"/>
    <w:rsid w:val="00DF0B7F"/>
    <w:rsid w:val="00DF0F66"/>
    <w:rsid w:val="00DF1866"/>
    <w:rsid w:val="00DF26FA"/>
    <w:rsid w:val="00DF2A59"/>
    <w:rsid w:val="00DF34B1"/>
    <w:rsid w:val="00DF3676"/>
    <w:rsid w:val="00DF4F8B"/>
    <w:rsid w:val="00E02939"/>
    <w:rsid w:val="00E032DE"/>
    <w:rsid w:val="00E03512"/>
    <w:rsid w:val="00E04700"/>
    <w:rsid w:val="00E047FB"/>
    <w:rsid w:val="00E05FA2"/>
    <w:rsid w:val="00E063AA"/>
    <w:rsid w:val="00E069C4"/>
    <w:rsid w:val="00E06A14"/>
    <w:rsid w:val="00E104A8"/>
    <w:rsid w:val="00E10ADE"/>
    <w:rsid w:val="00E110C4"/>
    <w:rsid w:val="00E114CB"/>
    <w:rsid w:val="00E1241B"/>
    <w:rsid w:val="00E126F8"/>
    <w:rsid w:val="00E14112"/>
    <w:rsid w:val="00E147F2"/>
    <w:rsid w:val="00E17A33"/>
    <w:rsid w:val="00E235B7"/>
    <w:rsid w:val="00E24507"/>
    <w:rsid w:val="00E246F8"/>
    <w:rsid w:val="00E2493F"/>
    <w:rsid w:val="00E254F7"/>
    <w:rsid w:val="00E25A6F"/>
    <w:rsid w:val="00E271AF"/>
    <w:rsid w:val="00E27460"/>
    <w:rsid w:val="00E27BCB"/>
    <w:rsid w:val="00E32A73"/>
    <w:rsid w:val="00E32DCE"/>
    <w:rsid w:val="00E33028"/>
    <w:rsid w:val="00E33553"/>
    <w:rsid w:val="00E33F6B"/>
    <w:rsid w:val="00E34335"/>
    <w:rsid w:val="00E347EE"/>
    <w:rsid w:val="00E3492D"/>
    <w:rsid w:val="00E34CB0"/>
    <w:rsid w:val="00E357F2"/>
    <w:rsid w:val="00E37778"/>
    <w:rsid w:val="00E41008"/>
    <w:rsid w:val="00E41036"/>
    <w:rsid w:val="00E4164F"/>
    <w:rsid w:val="00E41F1B"/>
    <w:rsid w:val="00E42FC7"/>
    <w:rsid w:val="00E432B8"/>
    <w:rsid w:val="00E4385F"/>
    <w:rsid w:val="00E469AC"/>
    <w:rsid w:val="00E47142"/>
    <w:rsid w:val="00E47EA0"/>
    <w:rsid w:val="00E47F31"/>
    <w:rsid w:val="00E50AE9"/>
    <w:rsid w:val="00E50F85"/>
    <w:rsid w:val="00E5127C"/>
    <w:rsid w:val="00E537AD"/>
    <w:rsid w:val="00E5386B"/>
    <w:rsid w:val="00E5407A"/>
    <w:rsid w:val="00E55CD0"/>
    <w:rsid w:val="00E55EBE"/>
    <w:rsid w:val="00E57908"/>
    <w:rsid w:val="00E60BDD"/>
    <w:rsid w:val="00E61868"/>
    <w:rsid w:val="00E6350E"/>
    <w:rsid w:val="00E64F37"/>
    <w:rsid w:val="00E65E5B"/>
    <w:rsid w:val="00E66EE5"/>
    <w:rsid w:val="00E67589"/>
    <w:rsid w:val="00E67AA1"/>
    <w:rsid w:val="00E67B04"/>
    <w:rsid w:val="00E67D83"/>
    <w:rsid w:val="00E721D4"/>
    <w:rsid w:val="00E72C22"/>
    <w:rsid w:val="00E7407E"/>
    <w:rsid w:val="00E74287"/>
    <w:rsid w:val="00E74727"/>
    <w:rsid w:val="00E75332"/>
    <w:rsid w:val="00E75441"/>
    <w:rsid w:val="00E764A5"/>
    <w:rsid w:val="00E76BD8"/>
    <w:rsid w:val="00E76C7B"/>
    <w:rsid w:val="00E77663"/>
    <w:rsid w:val="00E77AAF"/>
    <w:rsid w:val="00E80170"/>
    <w:rsid w:val="00E80877"/>
    <w:rsid w:val="00E82420"/>
    <w:rsid w:val="00E82EBA"/>
    <w:rsid w:val="00E835BF"/>
    <w:rsid w:val="00E849A1"/>
    <w:rsid w:val="00E84C13"/>
    <w:rsid w:val="00E85A14"/>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50E1"/>
    <w:rsid w:val="00EA5B26"/>
    <w:rsid w:val="00EA5E32"/>
    <w:rsid w:val="00EA6E0C"/>
    <w:rsid w:val="00EB032D"/>
    <w:rsid w:val="00EB0706"/>
    <w:rsid w:val="00EB0B16"/>
    <w:rsid w:val="00EB0CBF"/>
    <w:rsid w:val="00EB2903"/>
    <w:rsid w:val="00EB33E8"/>
    <w:rsid w:val="00EB3D7B"/>
    <w:rsid w:val="00EB69F4"/>
    <w:rsid w:val="00EB6B97"/>
    <w:rsid w:val="00EC044F"/>
    <w:rsid w:val="00EC045A"/>
    <w:rsid w:val="00EC10A7"/>
    <w:rsid w:val="00EC1817"/>
    <w:rsid w:val="00EC2100"/>
    <w:rsid w:val="00EC23E0"/>
    <w:rsid w:val="00EC2704"/>
    <w:rsid w:val="00EC3C72"/>
    <w:rsid w:val="00EC48E7"/>
    <w:rsid w:val="00ED3F5C"/>
    <w:rsid w:val="00ED424D"/>
    <w:rsid w:val="00ED49BE"/>
    <w:rsid w:val="00ED6AF9"/>
    <w:rsid w:val="00EE087E"/>
    <w:rsid w:val="00EE0895"/>
    <w:rsid w:val="00EE0F47"/>
    <w:rsid w:val="00EE1389"/>
    <w:rsid w:val="00EE1CC2"/>
    <w:rsid w:val="00EE398A"/>
    <w:rsid w:val="00EE4DB4"/>
    <w:rsid w:val="00EE5281"/>
    <w:rsid w:val="00EE5A2F"/>
    <w:rsid w:val="00EE68FA"/>
    <w:rsid w:val="00EE7690"/>
    <w:rsid w:val="00EE7D22"/>
    <w:rsid w:val="00EF14FD"/>
    <w:rsid w:val="00EF19FE"/>
    <w:rsid w:val="00EF1D1E"/>
    <w:rsid w:val="00EF2EEE"/>
    <w:rsid w:val="00EF3146"/>
    <w:rsid w:val="00EF422F"/>
    <w:rsid w:val="00EF4380"/>
    <w:rsid w:val="00F0008B"/>
    <w:rsid w:val="00F007D8"/>
    <w:rsid w:val="00F03338"/>
    <w:rsid w:val="00F03655"/>
    <w:rsid w:val="00F03D27"/>
    <w:rsid w:val="00F04563"/>
    <w:rsid w:val="00F04C45"/>
    <w:rsid w:val="00F055AD"/>
    <w:rsid w:val="00F07BDA"/>
    <w:rsid w:val="00F11445"/>
    <w:rsid w:val="00F127FA"/>
    <w:rsid w:val="00F14AF6"/>
    <w:rsid w:val="00F152C7"/>
    <w:rsid w:val="00F16EB2"/>
    <w:rsid w:val="00F176E1"/>
    <w:rsid w:val="00F17B2B"/>
    <w:rsid w:val="00F2035B"/>
    <w:rsid w:val="00F22162"/>
    <w:rsid w:val="00F2686D"/>
    <w:rsid w:val="00F26970"/>
    <w:rsid w:val="00F26C54"/>
    <w:rsid w:val="00F275DF"/>
    <w:rsid w:val="00F27B76"/>
    <w:rsid w:val="00F3020B"/>
    <w:rsid w:val="00F3088D"/>
    <w:rsid w:val="00F308AF"/>
    <w:rsid w:val="00F31B61"/>
    <w:rsid w:val="00F31C75"/>
    <w:rsid w:val="00F31CB4"/>
    <w:rsid w:val="00F322F7"/>
    <w:rsid w:val="00F33115"/>
    <w:rsid w:val="00F33B45"/>
    <w:rsid w:val="00F33CD7"/>
    <w:rsid w:val="00F36156"/>
    <w:rsid w:val="00F36411"/>
    <w:rsid w:val="00F36599"/>
    <w:rsid w:val="00F36B79"/>
    <w:rsid w:val="00F37D3E"/>
    <w:rsid w:val="00F405EB"/>
    <w:rsid w:val="00F40621"/>
    <w:rsid w:val="00F407A2"/>
    <w:rsid w:val="00F409A5"/>
    <w:rsid w:val="00F40FA3"/>
    <w:rsid w:val="00F417AB"/>
    <w:rsid w:val="00F421B8"/>
    <w:rsid w:val="00F42362"/>
    <w:rsid w:val="00F42995"/>
    <w:rsid w:val="00F43295"/>
    <w:rsid w:val="00F434A4"/>
    <w:rsid w:val="00F447BA"/>
    <w:rsid w:val="00F463AE"/>
    <w:rsid w:val="00F46C5B"/>
    <w:rsid w:val="00F47488"/>
    <w:rsid w:val="00F47761"/>
    <w:rsid w:val="00F47F17"/>
    <w:rsid w:val="00F501C4"/>
    <w:rsid w:val="00F503F6"/>
    <w:rsid w:val="00F50CE4"/>
    <w:rsid w:val="00F51AB7"/>
    <w:rsid w:val="00F52A90"/>
    <w:rsid w:val="00F5326A"/>
    <w:rsid w:val="00F5373C"/>
    <w:rsid w:val="00F54BB1"/>
    <w:rsid w:val="00F55DB8"/>
    <w:rsid w:val="00F568C8"/>
    <w:rsid w:val="00F568FA"/>
    <w:rsid w:val="00F57897"/>
    <w:rsid w:val="00F57FB4"/>
    <w:rsid w:val="00F60B73"/>
    <w:rsid w:val="00F60D1F"/>
    <w:rsid w:val="00F6190C"/>
    <w:rsid w:val="00F63B0F"/>
    <w:rsid w:val="00F64105"/>
    <w:rsid w:val="00F64C45"/>
    <w:rsid w:val="00F65C5B"/>
    <w:rsid w:val="00F73993"/>
    <w:rsid w:val="00F73BDC"/>
    <w:rsid w:val="00F73C02"/>
    <w:rsid w:val="00F75FA9"/>
    <w:rsid w:val="00F76C70"/>
    <w:rsid w:val="00F76E35"/>
    <w:rsid w:val="00F81846"/>
    <w:rsid w:val="00F82119"/>
    <w:rsid w:val="00F82570"/>
    <w:rsid w:val="00F82AED"/>
    <w:rsid w:val="00F82D3F"/>
    <w:rsid w:val="00F8355A"/>
    <w:rsid w:val="00F84A0A"/>
    <w:rsid w:val="00F8502B"/>
    <w:rsid w:val="00F858FC"/>
    <w:rsid w:val="00F8714D"/>
    <w:rsid w:val="00F90AE0"/>
    <w:rsid w:val="00F91A7B"/>
    <w:rsid w:val="00F91D6E"/>
    <w:rsid w:val="00F93D59"/>
    <w:rsid w:val="00F93DA1"/>
    <w:rsid w:val="00F941E5"/>
    <w:rsid w:val="00F950C9"/>
    <w:rsid w:val="00F95172"/>
    <w:rsid w:val="00F95D57"/>
    <w:rsid w:val="00F95E8B"/>
    <w:rsid w:val="00F96058"/>
    <w:rsid w:val="00FA013F"/>
    <w:rsid w:val="00FA06E6"/>
    <w:rsid w:val="00FA1510"/>
    <w:rsid w:val="00FA18C2"/>
    <w:rsid w:val="00FA5792"/>
    <w:rsid w:val="00FA6748"/>
    <w:rsid w:val="00FA6A0F"/>
    <w:rsid w:val="00FB14D2"/>
    <w:rsid w:val="00FB416C"/>
    <w:rsid w:val="00FB4820"/>
    <w:rsid w:val="00FB5F67"/>
    <w:rsid w:val="00FB75EC"/>
    <w:rsid w:val="00FC0E12"/>
    <w:rsid w:val="00FC24FF"/>
    <w:rsid w:val="00FC2567"/>
    <w:rsid w:val="00FC30D9"/>
    <w:rsid w:val="00FC3FC5"/>
    <w:rsid w:val="00FC49B4"/>
    <w:rsid w:val="00FC55BA"/>
    <w:rsid w:val="00FD097D"/>
    <w:rsid w:val="00FD0A9A"/>
    <w:rsid w:val="00FD0C54"/>
    <w:rsid w:val="00FD2034"/>
    <w:rsid w:val="00FD2A2D"/>
    <w:rsid w:val="00FD3B60"/>
    <w:rsid w:val="00FD5E5D"/>
    <w:rsid w:val="00FD5ED4"/>
    <w:rsid w:val="00FD64A1"/>
    <w:rsid w:val="00FD7B17"/>
    <w:rsid w:val="00FE0FB0"/>
    <w:rsid w:val="00FE175F"/>
    <w:rsid w:val="00FE2AEA"/>
    <w:rsid w:val="00FE4036"/>
    <w:rsid w:val="00FE4EDE"/>
    <w:rsid w:val="00FE5213"/>
    <w:rsid w:val="00FE589F"/>
    <w:rsid w:val="00FE5CC4"/>
    <w:rsid w:val="00FF2B45"/>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4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Title">
    <w:name w:val="Title"/>
    <w:basedOn w:val="Normal"/>
    <w:next w:val="Normal"/>
    <w:link w:val="TitleChar"/>
    <w:uiPriority w:val="10"/>
    <w:qFormat/>
    <w:rsid w:val="00495A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5AF2"/>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75078F"/>
    <w:pPr>
      <w:spacing w:after="200"/>
    </w:pPr>
    <w:rPr>
      <w:rFonts w:asciiTheme="minorHAnsi" w:eastAsiaTheme="minorEastAsia" w:hAnsiTheme="minorHAnsi" w:cstheme="minorBidi"/>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11038934">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139099">
      <w:bodyDiv w:val="1"/>
      <w:marLeft w:val="0"/>
      <w:marRight w:val="0"/>
      <w:marTop w:val="0"/>
      <w:marBottom w:val="0"/>
      <w:divBdr>
        <w:top w:val="none" w:sz="0" w:space="0" w:color="auto"/>
        <w:left w:val="none" w:sz="0" w:space="0" w:color="auto"/>
        <w:bottom w:val="none" w:sz="0" w:space="0" w:color="auto"/>
        <w:right w:val="none" w:sz="0" w:space="0" w:color="auto"/>
      </w:divBdr>
    </w:div>
    <w:div w:id="352533513">
      <w:bodyDiv w:val="1"/>
      <w:marLeft w:val="0"/>
      <w:marRight w:val="0"/>
      <w:marTop w:val="0"/>
      <w:marBottom w:val="0"/>
      <w:divBdr>
        <w:top w:val="none" w:sz="0" w:space="0" w:color="auto"/>
        <w:left w:val="none" w:sz="0" w:space="0" w:color="auto"/>
        <w:bottom w:val="none" w:sz="0" w:space="0" w:color="auto"/>
        <w:right w:val="none" w:sz="0" w:space="0" w:color="auto"/>
      </w:divBdr>
    </w:div>
    <w:div w:id="354617053">
      <w:bodyDiv w:val="1"/>
      <w:marLeft w:val="0"/>
      <w:marRight w:val="0"/>
      <w:marTop w:val="0"/>
      <w:marBottom w:val="0"/>
      <w:divBdr>
        <w:top w:val="none" w:sz="0" w:space="0" w:color="auto"/>
        <w:left w:val="none" w:sz="0" w:space="0" w:color="auto"/>
        <w:bottom w:val="none" w:sz="0" w:space="0" w:color="auto"/>
        <w:right w:val="none" w:sz="0" w:space="0" w:color="auto"/>
      </w:divBdr>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384718588">
      <w:bodyDiv w:val="1"/>
      <w:marLeft w:val="0"/>
      <w:marRight w:val="0"/>
      <w:marTop w:val="0"/>
      <w:marBottom w:val="0"/>
      <w:divBdr>
        <w:top w:val="none" w:sz="0" w:space="0" w:color="auto"/>
        <w:left w:val="none" w:sz="0" w:space="0" w:color="auto"/>
        <w:bottom w:val="none" w:sz="0" w:space="0" w:color="auto"/>
        <w:right w:val="none" w:sz="0" w:space="0" w:color="auto"/>
      </w:divBdr>
    </w:div>
    <w:div w:id="388647015">
      <w:bodyDiv w:val="1"/>
      <w:marLeft w:val="0"/>
      <w:marRight w:val="0"/>
      <w:marTop w:val="0"/>
      <w:marBottom w:val="0"/>
      <w:divBdr>
        <w:top w:val="none" w:sz="0" w:space="0" w:color="auto"/>
        <w:left w:val="none" w:sz="0" w:space="0" w:color="auto"/>
        <w:bottom w:val="none" w:sz="0" w:space="0" w:color="auto"/>
        <w:right w:val="none" w:sz="0" w:space="0" w:color="auto"/>
      </w:divBdr>
    </w:div>
    <w:div w:id="39027461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427703457">
      <w:bodyDiv w:val="1"/>
      <w:marLeft w:val="0"/>
      <w:marRight w:val="0"/>
      <w:marTop w:val="0"/>
      <w:marBottom w:val="0"/>
      <w:divBdr>
        <w:top w:val="none" w:sz="0" w:space="0" w:color="auto"/>
        <w:left w:val="none" w:sz="0" w:space="0" w:color="auto"/>
        <w:bottom w:val="none" w:sz="0" w:space="0" w:color="auto"/>
        <w:right w:val="none" w:sz="0" w:space="0" w:color="auto"/>
      </w:divBdr>
    </w:div>
    <w:div w:id="458886305">
      <w:bodyDiv w:val="1"/>
      <w:marLeft w:val="0"/>
      <w:marRight w:val="0"/>
      <w:marTop w:val="0"/>
      <w:marBottom w:val="0"/>
      <w:divBdr>
        <w:top w:val="none" w:sz="0" w:space="0" w:color="auto"/>
        <w:left w:val="none" w:sz="0" w:space="0" w:color="auto"/>
        <w:bottom w:val="none" w:sz="0" w:space="0" w:color="auto"/>
        <w:right w:val="none" w:sz="0" w:space="0" w:color="auto"/>
      </w:divBdr>
    </w:div>
    <w:div w:id="464349851">
      <w:bodyDiv w:val="1"/>
      <w:marLeft w:val="0"/>
      <w:marRight w:val="0"/>
      <w:marTop w:val="0"/>
      <w:marBottom w:val="0"/>
      <w:divBdr>
        <w:top w:val="none" w:sz="0" w:space="0" w:color="auto"/>
        <w:left w:val="none" w:sz="0" w:space="0" w:color="auto"/>
        <w:bottom w:val="none" w:sz="0" w:space="0" w:color="auto"/>
        <w:right w:val="none" w:sz="0" w:space="0" w:color="auto"/>
      </w:divBdr>
    </w:div>
    <w:div w:id="503593025">
      <w:bodyDiv w:val="1"/>
      <w:marLeft w:val="0"/>
      <w:marRight w:val="0"/>
      <w:marTop w:val="0"/>
      <w:marBottom w:val="0"/>
      <w:divBdr>
        <w:top w:val="none" w:sz="0" w:space="0" w:color="auto"/>
        <w:left w:val="none" w:sz="0" w:space="0" w:color="auto"/>
        <w:bottom w:val="none" w:sz="0" w:space="0" w:color="auto"/>
        <w:right w:val="none" w:sz="0" w:space="0" w:color="auto"/>
      </w:divBdr>
    </w:div>
    <w:div w:id="532233766">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63833443">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579098081">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51374457">
      <w:bodyDiv w:val="1"/>
      <w:marLeft w:val="0"/>
      <w:marRight w:val="0"/>
      <w:marTop w:val="0"/>
      <w:marBottom w:val="0"/>
      <w:divBdr>
        <w:top w:val="none" w:sz="0" w:space="0" w:color="auto"/>
        <w:left w:val="none" w:sz="0" w:space="0" w:color="auto"/>
        <w:bottom w:val="none" w:sz="0" w:space="0" w:color="auto"/>
        <w:right w:val="none" w:sz="0" w:space="0" w:color="auto"/>
      </w:divBdr>
    </w:div>
    <w:div w:id="659499756">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698165442">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34160630">
      <w:bodyDiv w:val="1"/>
      <w:marLeft w:val="0"/>
      <w:marRight w:val="0"/>
      <w:marTop w:val="0"/>
      <w:marBottom w:val="0"/>
      <w:divBdr>
        <w:top w:val="none" w:sz="0" w:space="0" w:color="auto"/>
        <w:left w:val="none" w:sz="0" w:space="0" w:color="auto"/>
        <w:bottom w:val="none" w:sz="0" w:space="0" w:color="auto"/>
        <w:right w:val="none" w:sz="0" w:space="0" w:color="auto"/>
      </w:divBdr>
    </w:div>
    <w:div w:id="744883144">
      <w:bodyDiv w:val="1"/>
      <w:marLeft w:val="0"/>
      <w:marRight w:val="0"/>
      <w:marTop w:val="0"/>
      <w:marBottom w:val="0"/>
      <w:divBdr>
        <w:top w:val="none" w:sz="0" w:space="0" w:color="auto"/>
        <w:left w:val="none" w:sz="0" w:space="0" w:color="auto"/>
        <w:bottom w:val="none" w:sz="0" w:space="0" w:color="auto"/>
        <w:right w:val="none" w:sz="0" w:space="0" w:color="auto"/>
      </w:divBdr>
    </w:div>
    <w:div w:id="779422715">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799736186">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27358905">
      <w:bodyDiv w:val="1"/>
      <w:marLeft w:val="0"/>
      <w:marRight w:val="0"/>
      <w:marTop w:val="0"/>
      <w:marBottom w:val="0"/>
      <w:divBdr>
        <w:top w:val="none" w:sz="0" w:space="0" w:color="auto"/>
        <w:left w:val="none" w:sz="0" w:space="0" w:color="auto"/>
        <w:bottom w:val="none" w:sz="0" w:space="0" w:color="auto"/>
        <w:right w:val="none" w:sz="0" w:space="0" w:color="auto"/>
      </w:divBdr>
    </w:div>
    <w:div w:id="836263052">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6382226">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2492565">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65508650">
      <w:bodyDiv w:val="1"/>
      <w:marLeft w:val="0"/>
      <w:marRight w:val="0"/>
      <w:marTop w:val="0"/>
      <w:marBottom w:val="0"/>
      <w:divBdr>
        <w:top w:val="none" w:sz="0" w:space="0" w:color="auto"/>
        <w:left w:val="none" w:sz="0" w:space="0" w:color="auto"/>
        <w:bottom w:val="none" w:sz="0" w:space="0" w:color="auto"/>
        <w:right w:val="none" w:sz="0" w:space="0" w:color="auto"/>
      </w:divBdr>
    </w:div>
    <w:div w:id="971712612">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985940628">
      <w:bodyDiv w:val="1"/>
      <w:marLeft w:val="0"/>
      <w:marRight w:val="0"/>
      <w:marTop w:val="0"/>
      <w:marBottom w:val="0"/>
      <w:divBdr>
        <w:top w:val="none" w:sz="0" w:space="0" w:color="auto"/>
        <w:left w:val="none" w:sz="0" w:space="0" w:color="auto"/>
        <w:bottom w:val="none" w:sz="0" w:space="0" w:color="auto"/>
        <w:right w:val="none" w:sz="0" w:space="0" w:color="auto"/>
      </w:divBdr>
    </w:div>
    <w:div w:id="1025978226">
      <w:bodyDiv w:val="1"/>
      <w:marLeft w:val="0"/>
      <w:marRight w:val="0"/>
      <w:marTop w:val="0"/>
      <w:marBottom w:val="0"/>
      <w:divBdr>
        <w:top w:val="none" w:sz="0" w:space="0" w:color="auto"/>
        <w:left w:val="none" w:sz="0" w:space="0" w:color="auto"/>
        <w:bottom w:val="none" w:sz="0" w:space="0" w:color="auto"/>
        <w:right w:val="none" w:sz="0" w:space="0" w:color="auto"/>
      </w:divBdr>
    </w:div>
    <w:div w:id="1032995425">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15640153">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214776089">
      <w:bodyDiv w:val="1"/>
      <w:marLeft w:val="0"/>
      <w:marRight w:val="0"/>
      <w:marTop w:val="0"/>
      <w:marBottom w:val="0"/>
      <w:divBdr>
        <w:top w:val="none" w:sz="0" w:space="0" w:color="auto"/>
        <w:left w:val="none" w:sz="0" w:space="0" w:color="auto"/>
        <w:bottom w:val="none" w:sz="0" w:space="0" w:color="auto"/>
        <w:right w:val="none" w:sz="0" w:space="0" w:color="auto"/>
      </w:divBdr>
    </w:div>
    <w:div w:id="1272208347">
      <w:bodyDiv w:val="1"/>
      <w:marLeft w:val="0"/>
      <w:marRight w:val="0"/>
      <w:marTop w:val="0"/>
      <w:marBottom w:val="0"/>
      <w:divBdr>
        <w:top w:val="none" w:sz="0" w:space="0" w:color="auto"/>
        <w:left w:val="none" w:sz="0" w:space="0" w:color="auto"/>
        <w:bottom w:val="none" w:sz="0" w:space="0" w:color="auto"/>
        <w:right w:val="none" w:sz="0" w:space="0" w:color="auto"/>
      </w:divBdr>
    </w:div>
    <w:div w:id="1276058540">
      <w:bodyDiv w:val="1"/>
      <w:marLeft w:val="0"/>
      <w:marRight w:val="0"/>
      <w:marTop w:val="0"/>
      <w:marBottom w:val="0"/>
      <w:divBdr>
        <w:top w:val="none" w:sz="0" w:space="0" w:color="auto"/>
        <w:left w:val="none" w:sz="0" w:space="0" w:color="auto"/>
        <w:bottom w:val="none" w:sz="0" w:space="0" w:color="auto"/>
        <w:right w:val="none" w:sz="0" w:space="0" w:color="auto"/>
      </w:divBdr>
    </w:div>
    <w:div w:id="1288050927">
      <w:bodyDiv w:val="1"/>
      <w:marLeft w:val="0"/>
      <w:marRight w:val="0"/>
      <w:marTop w:val="0"/>
      <w:marBottom w:val="0"/>
      <w:divBdr>
        <w:top w:val="none" w:sz="0" w:space="0" w:color="auto"/>
        <w:left w:val="none" w:sz="0" w:space="0" w:color="auto"/>
        <w:bottom w:val="none" w:sz="0" w:space="0" w:color="auto"/>
        <w:right w:val="none" w:sz="0" w:space="0" w:color="auto"/>
      </w:divBdr>
    </w:div>
    <w:div w:id="1299189926">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27442625">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84794070">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10230732">
      <w:bodyDiv w:val="1"/>
      <w:marLeft w:val="0"/>
      <w:marRight w:val="0"/>
      <w:marTop w:val="0"/>
      <w:marBottom w:val="0"/>
      <w:divBdr>
        <w:top w:val="none" w:sz="0" w:space="0" w:color="auto"/>
        <w:left w:val="none" w:sz="0" w:space="0" w:color="auto"/>
        <w:bottom w:val="none" w:sz="0" w:space="0" w:color="auto"/>
        <w:right w:val="none" w:sz="0" w:space="0" w:color="auto"/>
      </w:divBdr>
    </w:div>
    <w:div w:id="1442259399">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564754381">
      <w:bodyDiv w:val="1"/>
      <w:marLeft w:val="0"/>
      <w:marRight w:val="0"/>
      <w:marTop w:val="0"/>
      <w:marBottom w:val="0"/>
      <w:divBdr>
        <w:top w:val="none" w:sz="0" w:space="0" w:color="auto"/>
        <w:left w:val="none" w:sz="0" w:space="0" w:color="auto"/>
        <w:bottom w:val="none" w:sz="0" w:space="0" w:color="auto"/>
        <w:right w:val="none" w:sz="0" w:space="0" w:color="auto"/>
      </w:divBdr>
    </w:div>
    <w:div w:id="1569195690">
      <w:bodyDiv w:val="1"/>
      <w:marLeft w:val="0"/>
      <w:marRight w:val="0"/>
      <w:marTop w:val="0"/>
      <w:marBottom w:val="0"/>
      <w:divBdr>
        <w:top w:val="none" w:sz="0" w:space="0" w:color="auto"/>
        <w:left w:val="none" w:sz="0" w:space="0" w:color="auto"/>
        <w:bottom w:val="none" w:sz="0" w:space="0" w:color="auto"/>
        <w:right w:val="none" w:sz="0" w:space="0" w:color="auto"/>
      </w:divBdr>
    </w:div>
    <w:div w:id="1591155945">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59075528">
      <w:bodyDiv w:val="1"/>
      <w:marLeft w:val="0"/>
      <w:marRight w:val="0"/>
      <w:marTop w:val="0"/>
      <w:marBottom w:val="0"/>
      <w:divBdr>
        <w:top w:val="none" w:sz="0" w:space="0" w:color="auto"/>
        <w:left w:val="none" w:sz="0" w:space="0" w:color="auto"/>
        <w:bottom w:val="none" w:sz="0" w:space="0" w:color="auto"/>
        <w:right w:val="none" w:sz="0" w:space="0" w:color="auto"/>
      </w:divBdr>
    </w:div>
    <w:div w:id="1672027263">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65137">
      <w:bodyDiv w:val="1"/>
      <w:marLeft w:val="0"/>
      <w:marRight w:val="0"/>
      <w:marTop w:val="0"/>
      <w:marBottom w:val="0"/>
      <w:divBdr>
        <w:top w:val="none" w:sz="0" w:space="0" w:color="auto"/>
        <w:left w:val="none" w:sz="0" w:space="0" w:color="auto"/>
        <w:bottom w:val="none" w:sz="0" w:space="0" w:color="auto"/>
        <w:right w:val="none" w:sz="0" w:space="0" w:color="auto"/>
      </w:divBdr>
    </w:div>
    <w:div w:id="1764767018">
      <w:bodyDiv w:val="1"/>
      <w:marLeft w:val="0"/>
      <w:marRight w:val="0"/>
      <w:marTop w:val="0"/>
      <w:marBottom w:val="0"/>
      <w:divBdr>
        <w:top w:val="none" w:sz="0" w:space="0" w:color="auto"/>
        <w:left w:val="none" w:sz="0" w:space="0" w:color="auto"/>
        <w:bottom w:val="none" w:sz="0" w:space="0" w:color="auto"/>
        <w:right w:val="none" w:sz="0" w:space="0" w:color="auto"/>
      </w:divBdr>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25119602">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34030996">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1998799693">
      <w:bodyDiv w:val="1"/>
      <w:marLeft w:val="0"/>
      <w:marRight w:val="0"/>
      <w:marTop w:val="0"/>
      <w:marBottom w:val="0"/>
      <w:divBdr>
        <w:top w:val="none" w:sz="0" w:space="0" w:color="auto"/>
        <w:left w:val="none" w:sz="0" w:space="0" w:color="auto"/>
        <w:bottom w:val="none" w:sz="0" w:space="0" w:color="auto"/>
        <w:right w:val="none" w:sz="0" w:space="0" w:color="auto"/>
      </w:divBdr>
    </w:div>
    <w:div w:id="2020739187">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084839562">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3EB2A-899C-4298-A073-82253CDDA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4171</Characters>
  <Application>Microsoft Office Word</Application>
  <DocSecurity>0</DocSecurity>
  <Lines>34</Lines>
  <Paragraphs>9</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2021-06-11T10:19:00Z</cp:lastPrinted>
  <dcterms:created xsi:type="dcterms:W3CDTF">2021-06-11T10:19:00Z</dcterms:created>
  <dcterms:modified xsi:type="dcterms:W3CDTF">2021-06-11T10:19:00Z</dcterms:modified>
</cp:coreProperties>
</file>