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931" w:rsidRDefault="00683440">
      <w:pPr>
        <w:ind w:left="2160" w:firstLine="720"/>
      </w:pPr>
      <w:r>
        <w:rPr>
          <w:noProof/>
        </w:rPr>
        <w:drawing>
          <wp:anchor distT="0" distB="0" distL="0" distR="0" simplePos="0" relativeHeight="5" behindDoc="1" locked="0" layoutInCell="1" allowOverlap="1">
            <wp:simplePos x="0" y="0"/>
            <wp:positionH relativeFrom="column">
              <wp:posOffset>2097405</wp:posOffset>
            </wp:positionH>
            <wp:positionV relativeFrom="page">
              <wp:posOffset>501015</wp:posOffset>
            </wp:positionV>
            <wp:extent cx="1542415" cy="434975"/>
            <wp:effectExtent l="0" t="0" r="0" b="0"/>
            <wp:wrapNone/>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Γραφικό 1"/>
                    <pic:cNvPicPr>
                      <a:picLocks noChangeAspect="1" noChangeArrowheads="1"/>
                    </pic:cNvPicPr>
                  </pic:nvPicPr>
                  <pic:blipFill>
                    <a:blip r:embed="rId8"/>
                    <a:stretch>
                      <a:fillRect/>
                    </a:stretch>
                  </pic:blipFill>
                  <pic:spPr bwMode="auto">
                    <a:xfrm>
                      <a:off x="0" y="0"/>
                      <a:ext cx="1542415" cy="434975"/>
                    </a:xfrm>
                    <a:prstGeom prst="rect">
                      <a:avLst/>
                    </a:prstGeom>
                  </pic:spPr>
                </pic:pic>
              </a:graphicData>
            </a:graphic>
          </wp:anchor>
        </w:drawing>
      </w:r>
      <w:r>
        <w:rPr>
          <w:lang w:val="en-US"/>
        </w:rPr>
        <w:t xml:space="preserve">      </w:t>
      </w:r>
    </w:p>
    <w:p w:rsidR="005B0931" w:rsidRDefault="00683440">
      <w:r>
        <w:rPr>
          <w:lang w:val="en-US"/>
        </w:rPr>
        <w:t xml:space="preserve"> </w:t>
      </w:r>
      <w:r>
        <w:t xml:space="preserve"> </w:t>
      </w:r>
    </w:p>
    <w:tbl>
      <w:tblPr>
        <w:tblStyle w:val="af7"/>
        <w:tblW w:w="10740" w:type="dxa"/>
        <w:tblLook w:val="04A0" w:firstRow="1" w:lastRow="0" w:firstColumn="1" w:lastColumn="0" w:noHBand="0" w:noVBand="1"/>
      </w:tblPr>
      <w:tblGrid>
        <w:gridCol w:w="2550"/>
        <w:gridCol w:w="3522"/>
        <w:gridCol w:w="4668"/>
      </w:tblGrid>
      <w:tr w:rsidR="005B0931">
        <w:trPr>
          <w:trHeight w:val="1020"/>
        </w:trPr>
        <w:tc>
          <w:tcPr>
            <w:tcW w:w="2550" w:type="dxa"/>
            <w:tcBorders>
              <w:top w:val="nil"/>
              <w:left w:val="nil"/>
              <w:bottom w:val="nil"/>
              <w:right w:val="nil"/>
            </w:tcBorders>
            <w:shd w:val="clear" w:color="auto" w:fill="auto"/>
          </w:tcPr>
          <w:p w:rsidR="005B0931" w:rsidRDefault="00683440">
            <w:pPr>
              <w:jc w:val="center"/>
              <w:rPr>
                <w:lang w:val="en-US"/>
              </w:rPr>
            </w:pPr>
            <w:r>
              <w:rPr>
                <w:noProof/>
                <w:lang w:val="en-US"/>
              </w:rPr>
              <w:drawing>
                <wp:anchor distT="0" distB="0" distL="0" distR="0" simplePos="0" relativeHeight="6" behindDoc="1" locked="0" layoutInCell="1" allowOverlap="1">
                  <wp:simplePos x="0" y="0"/>
                  <wp:positionH relativeFrom="column">
                    <wp:posOffset>342900</wp:posOffset>
                  </wp:positionH>
                  <wp:positionV relativeFrom="page">
                    <wp:posOffset>-635</wp:posOffset>
                  </wp:positionV>
                  <wp:extent cx="795020" cy="548640"/>
                  <wp:effectExtent l="0" t="0" r="0" b="0"/>
                  <wp:wrapNone/>
                  <wp:docPr id="2"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pic:cNvPicPr>
                            <a:picLocks noChangeAspect="1" noChangeArrowheads="1"/>
                          </pic:cNvPicPr>
                        </pic:nvPicPr>
                        <pic:blipFill>
                          <a:blip r:embed="rId9"/>
                          <a:stretch>
                            <a:fillRect/>
                          </a:stretch>
                        </pic:blipFill>
                        <pic:spPr bwMode="auto">
                          <a:xfrm>
                            <a:off x="0" y="0"/>
                            <a:ext cx="795020" cy="548640"/>
                          </a:xfrm>
                          <a:prstGeom prst="rect">
                            <a:avLst/>
                          </a:prstGeom>
                        </pic:spPr>
                      </pic:pic>
                    </a:graphicData>
                  </a:graphic>
                </wp:anchor>
              </w:drawing>
            </w:r>
          </w:p>
        </w:tc>
        <w:tc>
          <w:tcPr>
            <w:tcW w:w="3522" w:type="dxa"/>
            <w:tcBorders>
              <w:top w:val="nil"/>
              <w:left w:val="nil"/>
              <w:bottom w:val="nil"/>
              <w:right w:val="nil"/>
            </w:tcBorders>
            <w:shd w:val="clear" w:color="auto" w:fill="auto"/>
          </w:tcPr>
          <w:p w:rsidR="005B0931" w:rsidRDefault="005B0931"/>
        </w:tc>
        <w:tc>
          <w:tcPr>
            <w:tcW w:w="4668" w:type="dxa"/>
            <w:tcBorders>
              <w:top w:val="nil"/>
              <w:left w:val="nil"/>
              <w:bottom w:val="nil"/>
              <w:right w:val="nil"/>
            </w:tcBorders>
            <w:shd w:val="clear" w:color="auto" w:fill="auto"/>
          </w:tcPr>
          <w:p w:rsidR="005B0931" w:rsidRDefault="00683440">
            <w:r>
              <w:rPr>
                <w:noProof/>
              </w:rPr>
              <mc:AlternateContent>
                <mc:Choice Requires="wps">
                  <w:drawing>
                    <wp:anchor distT="0" distB="0" distL="0" distR="0" simplePos="0" relativeHeight="4" behindDoc="1" locked="0" layoutInCell="1" allowOverlap="1" wp14:anchorId="026F30E9">
                      <wp:simplePos x="0" y="0"/>
                      <wp:positionH relativeFrom="page">
                        <wp:posOffset>1233805</wp:posOffset>
                      </wp:positionH>
                      <wp:positionV relativeFrom="paragraph">
                        <wp:posOffset>172720</wp:posOffset>
                      </wp:positionV>
                      <wp:extent cx="1639570" cy="315595"/>
                      <wp:effectExtent l="0" t="0" r="19050" b="28575"/>
                      <wp:wrapNone/>
                      <wp:docPr id="3" name="Πλαίσιο κειμένου 2"/>
                      <wp:cNvGraphicFramePr/>
                      <a:graphic xmlns:a="http://schemas.openxmlformats.org/drawingml/2006/main">
                        <a:graphicData uri="http://schemas.microsoft.com/office/word/2010/wordprocessingShape">
                          <wps:wsp>
                            <wps:cNvSpPr/>
                            <wps:spPr>
                              <a:xfrm>
                                <a:off x="0" y="0"/>
                                <a:ext cx="1639080" cy="315000"/>
                              </a:xfrm>
                              <a:prstGeom prst="rect">
                                <a:avLst/>
                              </a:prstGeom>
                              <a:solidFill>
                                <a:srgbClr val="006896"/>
                              </a:solidFill>
                              <a:ln w="9360">
                                <a:solidFill>
                                  <a:schemeClr val="bg1"/>
                                </a:solidFill>
                                <a:miter/>
                              </a:ln>
                            </wps:spPr>
                            <wps:style>
                              <a:lnRef idx="0">
                                <a:scrgbClr r="0" g="0" b="0"/>
                              </a:lnRef>
                              <a:fillRef idx="0">
                                <a:scrgbClr r="0" g="0" b="0"/>
                              </a:fillRef>
                              <a:effectRef idx="0">
                                <a:scrgbClr r="0" g="0" b="0"/>
                              </a:effectRef>
                              <a:fontRef idx="minor"/>
                            </wps:style>
                            <wps:txbx>
                              <w:txbxContent>
                                <w:p w:rsidR="005B0931" w:rsidRDefault="00683440">
                                  <w:pPr>
                                    <w:pStyle w:val="af6"/>
                                  </w:pPr>
                                  <w:r>
                                    <w:rPr>
                                      <w:rFonts w:ascii="Arial" w:hAnsi="Arial" w:cs="Arial"/>
                                      <w:b/>
                                      <w:color w:val="FFFFFF" w:themeColor="background1"/>
                                      <w:sz w:val="28"/>
                                      <w:szCs w:val="28"/>
                                    </w:rPr>
                                    <w:t>Δελτίο Τύπου</w:t>
                                  </w:r>
                                </w:p>
                              </w:txbxContent>
                            </wps:txbx>
                            <wps:bodyPr>
                              <a:noAutofit/>
                            </wps:bodyPr>
                          </wps:wsp>
                        </a:graphicData>
                      </a:graphic>
                    </wp:anchor>
                  </w:drawing>
                </mc:Choice>
                <mc:Fallback>
                  <w:pict>
                    <v:rect w14:anchorId="026F30E9" id="Πλαίσιο κειμένου 2" o:spid="_x0000_s1026" style="position:absolute;margin-left:97.15pt;margin-top:13.6pt;width:129.1pt;height:24.8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BMFwIAAGcEAAAOAAAAZHJzL2Uyb0RvYy54bWysVM1uEzEQviPxDpbvZDeJiJJVNhWiKhcE&#10;FYUHcLx2Ysl/st3s5ox4D14AIQ4cKKC+gftKjJ3NtgUuRVzs8c58n2e+Ge/ypFMS7Zjzwugaj0cl&#10;RkxT0wi9qfG7t2dP5hj5QHRDpNGsxnvm8cnq8aNlays2MVsjG+YQkGhftbbG2xBsVRSebpkifmQs&#10;0+DkxikS4Og2ReNIC+xKFpOynBWtcY11hjLv4evpwYlXmZ9zRsNrzj0LSNYYcgt5dXldp7VYLUm1&#10;ccRuBe3TIP+QhSJCw6UD1SkJBF068QeVEtQZb3gYUaMKw7mgLNcA1YzL36q52BLLci0gjreDTP7/&#10;0dJXu3OHRFPjKUaaKGhR/Bi/xy/x8837+C1eo3gVv4LxI36KP+P1zQc0SaK11leAvbDnrj95MJMC&#10;HXcq7VAb6rLQ+0Fo1gVE4eN4Nl2Uc+gHBd90/LQscyeKW7R1PrxgRqFk1NhBI7O+ZPfSB7gRQo8h&#10;6TJvpGjOhJT54Dbr59KhHUlNL2fzxSylDJB7YVKjtsaL6azMzPd8ef7YQLLejP/GoERgqXxglhq2&#10;JMpBhmyFvWQpH6nfMA4aZzVygrTP8DCI8FJAiuM4ZjIApEAOFT0Q20MSmuX5fyB+AOX7jQ4DXglt&#10;XJbhTnXJDN2664dgbZr9YQy0eXYZDBe5WSnq6MoqwTRn2fqXl57L3XPW8vb/sPoFAAD//wMAUEsD&#10;BBQABgAIAAAAIQAJ+KQG4gAAAAkBAAAPAAAAZHJzL2Rvd25yZXYueG1sTI/LTsMwEEX3SPyDNUhs&#10;UOs0aVoa4lQVUlmwKfSxYDdNnIeIx1HspoGvZ1jB8mqO7j2TrkfTikH3rrGkYDYNQGjKbdFQpeB4&#10;2E4eQTiPVGBrSSv40g7W2e1Niklhr/Suh72vBJeQS1BB7X2XSOnyWht0U9tp4ltpe4OeY1/Joscr&#10;l5tWhkGwkAYb4oUaO/1c6/xzfzEKyo/ZCXcvD/l2832Ih7fXqCqPkVL3d+PmCYTXo/+D4Vef1SFj&#10;p7O9UOFEy3k1jxhVEC5DEAzM4zAGcVawXKxAZqn8/0H2AwAA//8DAFBLAQItABQABgAIAAAAIQC2&#10;gziS/gAAAOEBAAATAAAAAAAAAAAAAAAAAAAAAABbQ29udGVudF9UeXBlc10ueG1sUEsBAi0AFAAG&#10;AAgAAAAhADj9If/WAAAAlAEAAAsAAAAAAAAAAAAAAAAALwEAAF9yZWxzLy5yZWxzUEsBAi0AFAAG&#10;AAgAAAAhAAleAEwXAgAAZwQAAA4AAAAAAAAAAAAAAAAALgIAAGRycy9lMm9Eb2MueG1sUEsBAi0A&#10;FAAGAAgAAAAhAAn4pAbiAAAACQEAAA8AAAAAAAAAAAAAAAAAcQQAAGRycy9kb3ducmV2LnhtbFBL&#10;BQYAAAAABAAEAPMAAACABQAAAAA=&#10;" fillcolor="#006896" strokecolor="white [3212]" strokeweight=".26mm">
                      <v:textbox>
                        <w:txbxContent>
                          <w:p w:rsidR="005B0931" w:rsidRDefault="00683440">
                            <w:pPr>
                              <w:pStyle w:val="af6"/>
                            </w:pPr>
                            <w:r>
                              <w:rPr>
                                <w:rFonts w:ascii="Arial" w:hAnsi="Arial" w:cs="Arial"/>
                                <w:b/>
                                <w:color w:val="FFFFFF" w:themeColor="background1"/>
                                <w:sz w:val="28"/>
                                <w:szCs w:val="28"/>
                              </w:rPr>
                              <w:t>Δελτίο Τύπου</w:t>
                            </w:r>
                          </w:p>
                        </w:txbxContent>
                      </v:textbox>
                      <w10:wrap anchorx="page"/>
                    </v:rect>
                  </w:pict>
                </mc:Fallback>
              </mc:AlternateContent>
            </w:r>
          </w:p>
        </w:tc>
      </w:tr>
      <w:tr w:rsidR="005B0931">
        <w:trPr>
          <w:trHeight w:val="342"/>
        </w:trPr>
        <w:tc>
          <w:tcPr>
            <w:tcW w:w="2550" w:type="dxa"/>
            <w:tcBorders>
              <w:top w:val="nil"/>
              <w:left w:val="nil"/>
              <w:bottom w:val="nil"/>
              <w:right w:val="nil"/>
            </w:tcBorders>
            <w:shd w:val="clear" w:color="auto" w:fill="auto"/>
          </w:tcPr>
          <w:p w:rsidR="005B0931" w:rsidRDefault="00683440">
            <w:pPr>
              <w:jc w:val="center"/>
              <w:rPr>
                <w:rFonts w:ascii="Arial" w:hAnsi="Arial" w:cs="Arial"/>
                <w:b/>
                <w:bCs/>
                <w:color w:val="006896"/>
                <w:sz w:val="16"/>
                <w:szCs w:val="16"/>
              </w:rPr>
            </w:pPr>
            <w:r>
              <w:rPr>
                <w:rFonts w:ascii="Arial" w:hAnsi="Arial" w:cs="Arial"/>
                <w:b/>
                <w:bCs/>
                <w:color w:val="006896"/>
                <w:sz w:val="16"/>
                <w:szCs w:val="16"/>
              </w:rPr>
              <w:t>ΟΡΓΑΝΙΣΜΟΣ ΑΠΑΣΧΟΛΗΣΗΣ</w:t>
            </w:r>
          </w:p>
          <w:p w:rsidR="005B0931" w:rsidRDefault="00683440">
            <w:pPr>
              <w:jc w:val="center"/>
              <w:rPr>
                <w:rFonts w:ascii="Arial" w:hAnsi="Arial" w:cs="Arial"/>
                <w:b/>
                <w:bCs/>
                <w:color w:val="2F5496" w:themeColor="accent1" w:themeShade="BF"/>
                <w:sz w:val="16"/>
                <w:szCs w:val="16"/>
              </w:rPr>
            </w:pPr>
            <w:r>
              <w:rPr>
                <w:rFonts w:ascii="Arial" w:hAnsi="Arial" w:cs="Arial"/>
                <w:b/>
                <w:bCs/>
                <w:color w:val="006896"/>
                <w:sz w:val="16"/>
                <w:szCs w:val="16"/>
              </w:rPr>
              <w:t>ΕΡΓΑΤΙΚΟΥ ΔΥΝΑΜΙΚΟΥ</w:t>
            </w:r>
          </w:p>
        </w:tc>
        <w:tc>
          <w:tcPr>
            <w:tcW w:w="3522" w:type="dxa"/>
            <w:tcBorders>
              <w:top w:val="nil"/>
              <w:left w:val="nil"/>
              <w:bottom w:val="nil"/>
              <w:right w:val="nil"/>
            </w:tcBorders>
            <w:shd w:val="clear" w:color="auto" w:fill="auto"/>
          </w:tcPr>
          <w:p w:rsidR="005B0931" w:rsidRDefault="005B0931">
            <w:pPr>
              <w:rPr>
                <w:sz w:val="16"/>
                <w:szCs w:val="16"/>
              </w:rPr>
            </w:pPr>
          </w:p>
        </w:tc>
        <w:tc>
          <w:tcPr>
            <w:tcW w:w="4668" w:type="dxa"/>
            <w:tcBorders>
              <w:top w:val="nil"/>
              <w:left w:val="nil"/>
              <w:bottom w:val="nil"/>
              <w:right w:val="nil"/>
            </w:tcBorders>
            <w:shd w:val="clear" w:color="auto" w:fill="auto"/>
          </w:tcPr>
          <w:p w:rsidR="005B0931" w:rsidRDefault="005B0931">
            <w:pPr>
              <w:rPr>
                <w:sz w:val="16"/>
                <w:szCs w:val="16"/>
              </w:rPr>
            </w:pPr>
          </w:p>
        </w:tc>
      </w:tr>
      <w:tr w:rsidR="005B0931">
        <w:trPr>
          <w:trHeight w:val="60"/>
        </w:trPr>
        <w:tc>
          <w:tcPr>
            <w:tcW w:w="2550" w:type="dxa"/>
            <w:tcBorders>
              <w:top w:val="nil"/>
              <w:left w:val="nil"/>
              <w:bottom w:val="nil"/>
              <w:right w:val="nil"/>
            </w:tcBorders>
            <w:shd w:val="clear" w:color="auto" w:fill="auto"/>
          </w:tcPr>
          <w:p w:rsidR="005B0931" w:rsidRDefault="005B0931">
            <w:pPr>
              <w:jc w:val="center"/>
              <w:rPr>
                <w:rFonts w:ascii="Arial" w:hAnsi="Arial" w:cs="Arial"/>
                <w:b/>
                <w:bCs/>
                <w:color w:val="2F5496" w:themeColor="accent1" w:themeShade="BF"/>
                <w:sz w:val="16"/>
                <w:szCs w:val="16"/>
              </w:rPr>
            </w:pPr>
          </w:p>
        </w:tc>
        <w:tc>
          <w:tcPr>
            <w:tcW w:w="3522" w:type="dxa"/>
            <w:tcBorders>
              <w:top w:val="nil"/>
              <w:left w:val="nil"/>
              <w:bottom w:val="nil"/>
              <w:right w:val="nil"/>
            </w:tcBorders>
            <w:shd w:val="clear" w:color="auto" w:fill="auto"/>
          </w:tcPr>
          <w:p w:rsidR="005B0931" w:rsidRDefault="005B0931">
            <w:pPr>
              <w:rPr>
                <w:sz w:val="16"/>
                <w:szCs w:val="16"/>
              </w:rPr>
            </w:pPr>
          </w:p>
        </w:tc>
        <w:tc>
          <w:tcPr>
            <w:tcW w:w="4668" w:type="dxa"/>
            <w:tcBorders>
              <w:top w:val="nil"/>
              <w:left w:val="nil"/>
              <w:bottom w:val="nil"/>
              <w:right w:val="nil"/>
            </w:tcBorders>
            <w:shd w:val="clear" w:color="auto" w:fill="auto"/>
          </w:tcPr>
          <w:p w:rsidR="005B0931" w:rsidRDefault="005B0931">
            <w:pPr>
              <w:rPr>
                <w:sz w:val="16"/>
                <w:szCs w:val="16"/>
              </w:rPr>
            </w:pPr>
          </w:p>
        </w:tc>
      </w:tr>
      <w:tr w:rsidR="005B0931">
        <w:trPr>
          <w:trHeight w:val="342"/>
        </w:trPr>
        <w:tc>
          <w:tcPr>
            <w:tcW w:w="2550" w:type="dxa"/>
            <w:tcBorders>
              <w:top w:val="nil"/>
              <w:left w:val="nil"/>
              <w:bottom w:val="nil"/>
              <w:right w:val="nil"/>
            </w:tcBorders>
            <w:shd w:val="clear" w:color="auto" w:fill="auto"/>
          </w:tcPr>
          <w:p w:rsidR="005B0931" w:rsidRDefault="00683440">
            <w:pPr>
              <w:jc w:val="center"/>
              <w:rPr>
                <w:rFonts w:ascii="Arial" w:hAnsi="Arial" w:cs="Arial"/>
                <w:b/>
                <w:bCs/>
                <w:color w:val="2F5496" w:themeColor="accent1" w:themeShade="BF"/>
                <w:sz w:val="16"/>
                <w:szCs w:val="16"/>
              </w:rPr>
            </w:pPr>
            <w:r>
              <w:rPr>
                <w:noProof/>
              </w:rPr>
              <w:drawing>
                <wp:inline distT="0" distB="0" distL="0" distR="0">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0"/>
                          <a:stretch>
                            <a:fillRect/>
                          </a:stretch>
                        </pic:blipFill>
                        <pic:spPr bwMode="auto">
                          <a:xfrm>
                            <a:off x="0" y="0"/>
                            <a:ext cx="851535" cy="190500"/>
                          </a:xfrm>
                          <a:prstGeom prst="rect">
                            <a:avLst/>
                          </a:prstGeom>
                        </pic:spPr>
                      </pic:pic>
                    </a:graphicData>
                  </a:graphic>
                </wp:inline>
              </w:drawing>
            </w:r>
          </w:p>
        </w:tc>
        <w:tc>
          <w:tcPr>
            <w:tcW w:w="3522" w:type="dxa"/>
            <w:tcBorders>
              <w:top w:val="nil"/>
              <w:left w:val="nil"/>
              <w:bottom w:val="nil"/>
              <w:right w:val="nil"/>
            </w:tcBorders>
            <w:shd w:val="clear" w:color="auto" w:fill="auto"/>
          </w:tcPr>
          <w:p w:rsidR="005B0931" w:rsidRDefault="005B0931">
            <w:pPr>
              <w:rPr>
                <w:sz w:val="16"/>
                <w:szCs w:val="16"/>
              </w:rPr>
            </w:pPr>
          </w:p>
        </w:tc>
        <w:tc>
          <w:tcPr>
            <w:tcW w:w="4668" w:type="dxa"/>
            <w:tcBorders>
              <w:top w:val="nil"/>
              <w:left w:val="nil"/>
              <w:bottom w:val="nil"/>
              <w:right w:val="nil"/>
            </w:tcBorders>
            <w:shd w:val="clear" w:color="auto" w:fill="auto"/>
          </w:tcPr>
          <w:p w:rsidR="005B0931" w:rsidRDefault="005B0931">
            <w:pPr>
              <w:rPr>
                <w:sz w:val="16"/>
                <w:szCs w:val="16"/>
              </w:rPr>
            </w:pPr>
          </w:p>
        </w:tc>
      </w:tr>
      <w:tr w:rsidR="005B0931">
        <w:trPr>
          <w:trHeight w:val="342"/>
        </w:trPr>
        <w:tc>
          <w:tcPr>
            <w:tcW w:w="2550" w:type="dxa"/>
            <w:tcBorders>
              <w:top w:val="nil"/>
              <w:left w:val="nil"/>
              <w:bottom w:val="nil"/>
              <w:right w:val="nil"/>
            </w:tcBorders>
            <w:shd w:val="clear" w:color="auto" w:fill="auto"/>
          </w:tcPr>
          <w:p w:rsidR="005B0931" w:rsidRDefault="00683440">
            <w:pPr>
              <w:jc w:val="center"/>
              <w:rPr>
                <w:rFonts w:ascii="Arial" w:hAnsi="Arial" w:cs="Arial"/>
                <w:b/>
                <w:bCs/>
                <w:color w:val="006896"/>
                <w:sz w:val="20"/>
                <w:szCs w:val="20"/>
              </w:rPr>
            </w:pPr>
            <w:r>
              <w:rPr>
                <w:rFonts w:ascii="Arial" w:hAnsi="Arial" w:cs="Arial"/>
                <w:b/>
                <w:bCs/>
                <w:color w:val="006896"/>
                <w:sz w:val="20"/>
                <w:szCs w:val="20"/>
              </w:rPr>
              <w:t>Γραφείο Τύπου</w:t>
            </w:r>
          </w:p>
          <w:p w:rsidR="005B0931" w:rsidRDefault="00683440">
            <w:pPr>
              <w:jc w:val="center"/>
              <w:rPr>
                <w:rFonts w:ascii="Arial" w:hAnsi="Arial" w:cs="Arial"/>
                <w:b/>
                <w:bCs/>
                <w:color w:val="006896"/>
                <w:sz w:val="16"/>
                <w:szCs w:val="16"/>
              </w:rPr>
            </w:pPr>
            <w:r>
              <w:rPr>
                <w:rFonts w:ascii="Arial" w:hAnsi="Arial" w:cs="Arial"/>
                <w:b/>
                <w:bCs/>
                <w:color w:val="006896"/>
                <w:sz w:val="20"/>
                <w:szCs w:val="20"/>
              </w:rPr>
              <w:t xml:space="preserve">Αθήνα, </w:t>
            </w:r>
            <w:r w:rsidR="002564DE">
              <w:rPr>
                <w:rFonts w:ascii="Arial" w:hAnsi="Arial" w:cs="Arial"/>
                <w:b/>
                <w:bCs/>
                <w:color w:val="006896"/>
                <w:sz w:val="20"/>
                <w:szCs w:val="20"/>
              </w:rPr>
              <w:t>07</w:t>
            </w:r>
            <w:r>
              <w:rPr>
                <w:rFonts w:ascii="Arial" w:hAnsi="Arial" w:cs="Arial"/>
                <w:b/>
                <w:bCs/>
                <w:color w:val="006896"/>
                <w:sz w:val="20"/>
                <w:szCs w:val="20"/>
              </w:rPr>
              <w:t>.0</w:t>
            </w:r>
            <w:r w:rsidR="002564DE">
              <w:rPr>
                <w:rFonts w:ascii="Arial" w:hAnsi="Arial" w:cs="Arial"/>
                <w:b/>
                <w:bCs/>
                <w:color w:val="006896"/>
                <w:sz w:val="20"/>
                <w:szCs w:val="20"/>
              </w:rPr>
              <w:t>4</w:t>
            </w:r>
            <w:r>
              <w:rPr>
                <w:rFonts w:ascii="Arial" w:hAnsi="Arial" w:cs="Arial"/>
                <w:b/>
                <w:bCs/>
                <w:color w:val="006896"/>
                <w:sz w:val="20"/>
                <w:szCs w:val="20"/>
              </w:rPr>
              <w:t>.2022</w:t>
            </w:r>
          </w:p>
        </w:tc>
        <w:tc>
          <w:tcPr>
            <w:tcW w:w="3522" w:type="dxa"/>
            <w:tcBorders>
              <w:top w:val="nil"/>
              <w:left w:val="nil"/>
              <w:bottom w:val="nil"/>
              <w:right w:val="nil"/>
            </w:tcBorders>
            <w:shd w:val="clear" w:color="auto" w:fill="auto"/>
          </w:tcPr>
          <w:p w:rsidR="005B0931" w:rsidRDefault="005B0931">
            <w:pPr>
              <w:rPr>
                <w:sz w:val="16"/>
                <w:szCs w:val="16"/>
              </w:rPr>
            </w:pPr>
          </w:p>
        </w:tc>
        <w:tc>
          <w:tcPr>
            <w:tcW w:w="4668" w:type="dxa"/>
            <w:tcBorders>
              <w:top w:val="nil"/>
              <w:left w:val="nil"/>
              <w:bottom w:val="nil"/>
              <w:right w:val="nil"/>
            </w:tcBorders>
            <w:shd w:val="clear" w:color="auto" w:fill="auto"/>
          </w:tcPr>
          <w:p w:rsidR="005B0931" w:rsidRDefault="005B0931">
            <w:pPr>
              <w:rPr>
                <w:sz w:val="16"/>
                <w:szCs w:val="16"/>
              </w:rPr>
            </w:pPr>
          </w:p>
        </w:tc>
      </w:tr>
    </w:tbl>
    <w:p w:rsidR="005B0931" w:rsidRDefault="005B0931">
      <w:pPr>
        <w:rPr>
          <w:sz w:val="16"/>
          <w:szCs w:val="16"/>
        </w:rPr>
      </w:pPr>
    </w:p>
    <w:p w:rsidR="005B0931" w:rsidRDefault="005B0931">
      <w:pPr>
        <w:rPr>
          <w:sz w:val="16"/>
          <w:szCs w:val="16"/>
        </w:rPr>
      </w:pPr>
    </w:p>
    <w:p w:rsidR="005B0931" w:rsidRDefault="005B0931">
      <w:pPr>
        <w:rPr>
          <w:sz w:val="16"/>
          <w:szCs w:val="16"/>
        </w:rPr>
      </w:pPr>
    </w:p>
    <w:p w:rsidR="002564DE" w:rsidRDefault="002564DE" w:rsidP="002564DE">
      <w:pPr>
        <w:jc w:val="center"/>
      </w:pPr>
      <w:r>
        <w:rPr>
          <w:rFonts w:ascii="Arial" w:hAnsi="Arial" w:cs="Arial"/>
          <w:b/>
          <w:color w:val="000000"/>
          <w:sz w:val="22"/>
          <w:szCs w:val="22"/>
        </w:rPr>
        <w:t>Από Δευτέρα οι αιτήσεις για τον Γ΄ κύκλο του προγράμματος επιδότησης της εργασίας 5.000 ανέργων 30 ετών και άνω, με έμφαση στις γυναίκες, σε 6 περιφέρειες</w:t>
      </w:r>
    </w:p>
    <w:p w:rsidR="002564DE" w:rsidRDefault="002564DE" w:rsidP="002564DE">
      <w:pPr>
        <w:jc w:val="center"/>
        <w:rPr>
          <w:rFonts w:ascii="Arial" w:hAnsi="Arial" w:cs="Arial"/>
          <w:b/>
          <w:color w:val="000000"/>
          <w:sz w:val="22"/>
          <w:szCs w:val="22"/>
        </w:rPr>
      </w:pPr>
    </w:p>
    <w:p w:rsidR="002564DE" w:rsidRDefault="002564DE" w:rsidP="002564DE">
      <w:pPr>
        <w:jc w:val="both"/>
      </w:pPr>
      <w:r>
        <w:rPr>
          <w:rFonts w:ascii="Arial" w:hAnsi="Arial" w:cs="Arial"/>
          <w:color w:val="000000"/>
          <w:sz w:val="22"/>
          <w:szCs w:val="22"/>
        </w:rPr>
        <w:t>Τη Δευτέρα, 11 Απριλίου 202</w:t>
      </w:r>
      <w:r w:rsidR="00284529">
        <w:rPr>
          <w:rFonts w:ascii="Arial" w:hAnsi="Arial" w:cs="Arial"/>
          <w:color w:val="000000"/>
          <w:sz w:val="22"/>
          <w:szCs w:val="22"/>
        </w:rPr>
        <w:t>2</w:t>
      </w:r>
      <w:r>
        <w:rPr>
          <w:rFonts w:ascii="Arial" w:hAnsi="Arial" w:cs="Arial"/>
          <w:color w:val="000000"/>
          <w:sz w:val="22"/>
          <w:szCs w:val="22"/>
        </w:rPr>
        <w:t xml:space="preserve"> και ώρα 13:00</w:t>
      </w:r>
      <w:r w:rsidR="0078544D">
        <w:rPr>
          <w:rFonts w:ascii="Arial" w:hAnsi="Arial" w:cs="Arial"/>
          <w:color w:val="000000"/>
          <w:sz w:val="22"/>
          <w:szCs w:val="22"/>
        </w:rPr>
        <w:t>,</w:t>
      </w:r>
      <w:r>
        <w:rPr>
          <w:rFonts w:ascii="Arial" w:hAnsi="Arial" w:cs="Arial"/>
          <w:color w:val="000000"/>
          <w:sz w:val="22"/>
          <w:szCs w:val="22"/>
        </w:rPr>
        <w:t xml:space="preserve"> ξεκινούν οι αιτήσεις επιχειρήσεων για τον Γ’   κύκλο της δράσης «Πρόγραμμα επιχορήγησης επιχειρήσεων για την απασχόληση ανέργων ηλικίας 30 ετών και άνω στις Περιφέρειες σε μετάβαση (MΕΤ), με έμφαση στις γυναίκες» και συγκεκριμένα στις Περιφέρειες Δυτικής Μακεδονίας, Στερεάς Ελλάδας, Ιονίων Νήσων, Πελοποννήσου, Βόρειου Αιγαίου και Κρήτης. Οι αιτήσεις θα υποβάλλονται μέχρι την Παρασκευή, 29 Απριλίου 202</w:t>
      </w:r>
      <w:r w:rsidR="00284529">
        <w:rPr>
          <w:rFonts w:ascii="Arial" w:hAnsi="Arial" w:cs="Arial"/>
          <w:color w:val="000000"/>
          <w:sz w:val="22"/>
          <w:szCs w:val="22"/>
        </w:rPr>
        <w:t>2</w:t>
      </w:r>
      <w:bookmarkStart w:id="0" w:name="_GoBack"/>
      <w:bookmarkEnd w:id="0"/>
      <w:r>
        <w:rPr>
          <w:rFonts w:ascii="Arial" w:hAnsi="Arial" w:cs="Arial"/>
          <w:color w:val="000000"/>
          <w:sz w:val="22"/>
          <w:szCs w:val="22"/>
        </w:rPr>
        <w:t xml:space="preserve"> και ώρα 15:00.</w:t>
      </w:r>
    </w:p>
    <w:p w:rsidR="002564DE" w:rsidRDefault="002564DE" w:rsidP="002564DE">
      <w:pPr>
        <w:jc w:val="both"/>
        <w:rPr>
          <w:rFonts w:ascii="Arial" w:hAnsi="Arial" w:cs="Arial"/>
          <w:color w:val="000000"/>
          <w:sz w:val="22"/>
          <w:szCs w:val="22"/>
        </w:rPr>
      </w:pPr>
    </w:p>
    <w:p w:rsidR="002564DE" w:rsidRDefault="002564DE" w:rsidP="002564DE">
      <w:pPr>
        <w:jc w:val="both"/>
        <w:rPr>
          <w:rFonts w:ascii="Arial" w:hAnsi="Arial" w:cs="Arial"/>
          <w:color w:val="000000"/>
          <w:sz w:val="22"/>
          <w:szCs w:val="22"/>
        </w:rPr>
      </w:pPr>
      <w:r>
        <w:rPr>
          <w:rFonts w:ascii="Arial" w:hAnsi="Arial" w:cs="Arial"/>
          <w:color w:val="000000"/>
          <w:sz w:val="22"/>
          <w:szCs w:val="22"/>
        </w:rPr>
        <w:t>Το 12μηνης διάρκειας πρόγραμμα απευθύνεται σε επιχειρήσεις και τα ποσά της επιχορήγησης για την πρόσληψη ανέργων σε νέες θέσεις πλήρους απασχόλησης έχουν ως εξής:</w:t>
      </w:r>
    </w:p>
    <w:p w:rsidR="002564DE" w:rsidRDefault="002564DE" w:rsidP="002564DE">
      <w:pPr>
        <w:jc w:val="both"/>
        <w:rPr>
          <w:rFonts w:ascii="Arial" w:hAnsi="Arial" w:cs="Arial"/>
          <w:color w:val="000000"/>
          <w:sz w:val="22"/>
          <w:szCs w:val="22"/>
        </w:rPr>
      </w:pPr>
    </w:p>
    <w:p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466,5 € μηνιαία (5.598 € ετήσια) για ανέργους ηλικίας 30-49 ετών</w:t>
      </w:r>
    </w:p>
    <w:p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559,8 € μηνιαία (6.717,6 € ετήσια) για ανέργους ηλικίας 50 ετών και άνω</w:t>
      </w:r>
    </w:p>
    <w:p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606,45 € μηνιαία (7.277,4 € ετήσια) για μακροχρόνια ανέργους 30 ετών και άνω</w:t>
      </w:r>
    </w:p>
    <w:p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653,1 € μηνιαία (7.837,2 € ετήσια) για μακροχρόνια ανέργους 50 ετών και άνω</w:t>
      </w:r>
    </w:p>
    <w:p w:rsidR="002564DE" w:rsidRDefault="002564DE" w:rsidP="002564DE">
      <w:pPr>
        <w:numPr>
          <w:ilvl w:val="0"/>
          <w:numId w:val="4"/>
        </w:numPr>
        <w:jc w:val="both"/>
        <w:rPr>
          <w:rFonts w:ascii="Arial" w:hAnsi="Arial" w:cs="Arial"/>
          <w:color w:val="000000"/>
          <w:sz w:val="22"/>
          <w:szCs w:val="22"/>
        </w:rPr>
      </w:pPr>
      <w:r>
        <w:rPr>
          <w:rFonts w:ascii="Arial" w:hAnsi="Arial" w:cs="Arial"/>
          <w:color w:val="000000"/>
          <w:sz w:val="22"/>
          <w:szCs w:val="22"/>
        </w:rPr>
        <w:t>699,75 € μηνιαία (8.397 € ετήσια) για άνεργες γυναίκες 30 ετών και άνω</w:t>
      </w:r>
    </w:p>
    <w:p w:rsidR="002564DE" w:rsidRDefault="002564DE" w:rsidP="002564DE">
      <w:pPr>
        <w:jc w:val="both"/>
        <w:rPr>
          <w:rFonts w:ascii="Arial" w:hAnsi="Arial" w:cs="Arial"/>
          <w:color w:val="000000"/>
          <w:sz w:val="22"/>
          <w:szCs w:val="22"/>
        </w:rPr>
      </w:pPr>
    </w:p>
    <w:p w:rsidR="002564DE" w:rsidRPr="002564DE" w:rsidRDefault="002564DE" w:rsidP="002564DE">
      <w:pPr>
        <w:jc w:val="both"/>
        <w:rPr>
          <w:rFonts w:ascii="Arial" w:hAnsi="Arial" w:cs="Arial"/>
          <w:color w:val="000000"/>
          <w:sz w:val="22"/>
          <w:szCs w:val="22"/>
        </w:rPr>
      </w:pPr>
      <w:r>
        <w:rPr>
          <w:rFonts w:ascii="Arial" w:hAnsi="Arial" w:cs="Arial"/>
          <w:color w:val="000000"/>
          <w:sz w:val="22"/>
          <w:szCs w:val="22"/>
        </w:rPr>
        <w:t xml:space="preserve">Οι επιχειρήσεις που ενδιαφέρονται να συμμετάσχουν θα υποβάλλουν την αίτησή τους αποκλειστικά ηλεκτρονικά μέσω του Πληροφοριακού Συστήματος Κρατικών Ενισχύσεων (ΠΣΚΕ) του Υπουργείου Ανάπτυξης &amp; Επενδύσεων στη διεύθυνση </w:t>
      </w:r>
      <w:hyperlink r:id="rId11" w:history="1">
        <w:r w:rsidRPr="00DC6DDF">
          <w:rPr>
            <w:rStyle w:val="-0"/>
            <w:rFonts w:ascii="Arial" w:hAnsi="Arial" w:cs="Arial"/>
            <w:sz w:val="22"/>
            <w:szCs w:val="22"/>
          </w:rPr>
          <w:t>http://www.ependyseis.gr/mis</w:t>
        </w:r>
      </w:hyperlink>
      <w:r>
        <w:rPr>
          <w:rFonts w:ascii="Arial" w:hAnsi="Arial" w:cs="Arial"/>
          <w:color w:val="000000"/>
          <w:sz w:val="22"/>
          <w:szCs w:val="22"/>
        </w:rPr>
        <w:t xml:space="preserve"> </w:t>
      </w:r>
      <w:r w:rsidR="0078544D">
        <w:rPr>
          <w:rFonts w:ascii="Arial" w:hAnsi="Arial" w:cs="Arial"/>
          <w:color w:val="000000"/>
          <w:sz w:val="22"/>
          <w:szCs w:val="22"/>
        </w:rPr>
        <w:t xml:space="preserve"> </w:t>
      </w:r>
      <w:r>
        <w:rPr>
          <w:rFonts w:ascii="Arial" w:hAnsi="Arial" w:cs="Arial"/>
          <w:color w:val="000000"/>
          <w:sz w:val="22"/>
          <w:szCs w:val="22"/>
        </w:rPr>
        <w:t>Κατόπιν, οι εργασιακοί σύμβουλοι του ΟΑΕΔ θα υποδείξουν στην επιχείρηση υποψηφίους, σύμφωνα με  την κατηγορία ανέργου, την ειδικότητα και τα απαιτούμενα προσόντα και η επιχείρηση θα επιλέξει μεταξύ των υποψηφίων για την πρόσληψη.</w:t>
      </w:r>
    </w:p>
    <w:p w:rsidR="002564DE" w:rsidRDefault="002564DE" w:rsidP="002564DE">
      <w:pPr>
        <w:jc w:val="both"/>
        <w:rPr>
          <w:rFonts w:ascii="Arial" w:hAnsi="Arial" w:cs="Arial"/>
          <w:color w:val="000000"/>
          <w:sz w:val="22"/>
          <w:szCs w:val="22"/>
        </w:rPr>
      </w:pPr>
    </w:p>
    <w:p w:rsidR="002564DE" w:rsidRDefault="002564DE" w:rsidP="002564DE">
      <w:pPr>
        <w:jc w:val="both"/>
        <w:rPr>
          <w:rFonts w:ascii="Arial" w:hAnsi="Arial" w:cs="Arial"/>
          <w:color w:val="000000"/>
          <w:sz w:val="22"/>
          <w:szCs w:val="22"/>
        </w:rPr>
      </w:pPr>
      <w:r>
        <w:rPr>
          <w:rFonts w:ascii="Arial" w:hAnsi="Arial" w:cs="Arial"/>
          <w:color w:val="000000"/>
          <w:sz w:val="22"/>
          <w:szCs w:val="22"/>
        </w:rPr>
        <w:t xml:space="preserve">Απαραίτητη προϋπόθεση είναι η επιχείρηση να μην έχει μειώσει το προσωπικό της κατά το τρίμηνο πριν την αίτηση και να μην έχει λάβει  χρηματοδότηση από κρατική ενίσχυση άνω των 200.000 € τα προηγούμενα 3 έτη (τρέχον και δύο προηγούμενα). Στην επιχορήγηση μισθού και ασφαλιστικών εισφορών συμπεριλαμβάνονται τα αντίστοιχα δώρα Χριστουγέννων και Πάσχα και επιδόματα αδείας. </w:t>
      </w:r>
    </w:p>
    <w:p w:rsidR="002564DE" w:rsidRDefault="002564DE" w:rsidP="002564DE">
      <w:pPr>
        <w:jc w:val="both"/>
        <w:rPr>
          <w:rFonts w:ascii="Arial" w:hAnsi="Arial" w:cs="Arial"/>
          <w:color w:val="000000"/>
          <w:sz w:val="22"/>
          <w:szCs w:val="22"/>
        </w:rPr>
      </w:pPr>
    </w:p>
    <w:p w:rsidR="002564DE" w:rsidRDefault="002564DE" w:rsidP="002564DE">
      <w:pPr>
        <w:jc w:val="both"/>
        <w:rPr>
          <w:rFonts w:ascii="Arial" w:hAnsi="Arial" w:cs="Arial"/>
          <w:sz w:val="22"/>
          <w:szCs w:val="22"/>
        </w:rPr>
      </w:pPr>
      <w:r>
        <w:rPr>
          <w:rFonts w:ascii="Arial" w:hAnsi="Arial" w:cs="Arial"/>
          <w:sz w:val="22"/>
          <w:szCs w:val="22"/>
        </w:rPr>
        <w:t>Το πρόγραμμα, συνολικού προϋπολογισμού 32.000.000 €, συγχρηματοδοτείται από την Ελλάδα και την Ευρωπαϊκή Ένωση (Ευρωπαϊκό Κοινωνικό Ταμείο), μέσω του Ε.Π. «Ανάπτυξη Ανθρώπινου Δυναμικού, Εκπαίδευση και Δια Βίου Μάθηση 2014-2020».</w:t>
      </w:r>
    </w:p>
    <w:p w:rsidR="002564DE" w:rsidRDefault="002564DE" w:rsidP="002564DE">
      <w:pPr>
        <w:jc w:val="both"/>
        <w:rPr>
          <w:rFonts w:ascii="Arial" w:hAnsi="Arial" w:cs="Arial"/>
          <w:color w:val="000000"/>
          <w:sz w:val="22"/>
          <w:szCs w:val="22"/>
        </w:rPr>
      </w:pPr>
    </w:p>
    <w:p w:rsidR="000B72D5" w:rsidRPr="000B72D5" w:rsidRDefault="000B72D5" w:rsidP="000B72D5">
      <w:pPr>
        <w:jc w:val="both"/>
        <w:rPr>
          <w:rFonts w:ascii="Arial" w:hAnsi="Arial" w:cs="Arial"/>
          <w:color w:val="000000" w:themeColor="text1"/>
          <w:sz w:val="22"/>
          <w:szCs w:val="22"/>
        </w:rPr>
      </w:pPr>
      <w:r w:rsidRPr="000B72D5">
        <w:rPr>
          <w:rFonts w:ascii="Arial" w:hAnsi="Arial" w:cs="Arial"/>
          <w:color w:val="000000" w:themeColor="text1"/>
          <w:sz w:val="22"/>
          <w:szCs w:val="22"/>
        </w:rPr>
        <w:t>Για  τη Δημόσια Πρόσκληση και αναλυτικές  πληροφορίες, επισκεφτείτε τη διεύθυνση:</w:t>
      </w:r>
    </w:p>
    <w:p w:rsidR="005B0931" w:rsidRDefault="00732E35" w:rsidP="00A92A7F">
      <w:pPr>
        <w:rPr>
          <w:sz w:val="16"/>
          <w:szCs w:val="16"/>
        </w:rPr>
      </w:pPr>
      <w:hyperlink r:id="rId12" w:history="1">
        <w:r w:rsidR="002564DE" w:rsidRPr="00DC6DDF">
          <w:rPr>
            <w:rStyle w:val="-0"/>
            <w:rFonts w:ascii="Arial" w:hAnsi="Arial" w:cs="Arial"/>
            <w:sz w:val="22"/>
            <w:szCs w:val="22"/>
          </w:rPr>
          <w:t>http://www.oaed.gr/anoikta-programmata</w:t>
        </w:r>
      </w:hyperlink>
      <w:r w:rsidR="002564DE">
        <w:rPr>
          <w:rStyle w:val="-0"/>
          <w:rFonts w:ascii="Arial" w:hAnsi="Arial" w:cs="Arial"/>
          <w:sz w:val="22"/>
          <w:szCs w:val="22"/>
        </w:rPr>
        <w:t xml:space="preserve">  </w:t>
      </w:r>
      <w:r w:rsidR="000B72D5">
        <w:rPr>
          <w:rFonts w:ascii="Arial" w:hAnsi="Arial" w:cs="Arial"/>
          <w:color w:val="000000" w:themeColor="text1"/>
          <w:sz w:val="22"/>
          <w:szCs w:val="22"/>
        </w:rPr>
        <w:t xml:space="preserve"> </w:t>
      </w:r>
    </w:p>
    <w:p w:rsidR="005B0931" w:rsidRDefault="005B0931"/>
    <w:sectPr w:rsidR="005B0931">
      <w:headerReference w:type="default" r:id="rId13"/>
      <w:footerReference w:type="default" r:id="rId14"/>
      <w:pgSz w:w="11906" w:h="16838"/>
      <w:pgMar w:top="1077" w:right="1418" w:bottom="567" w:left="1418" w:header="680"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E35" w:rsidRDefault="00732E35">
      <w:r>
        <w:separator/>
      </w:r>
    </w:p>
  </w:endnote>
  <w:endnote w:type="continuationSeparator" w:id="0">
    <w:p w:rsidR="00732E35" w:rsidRDefault="0073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font>
  <w:font w:name="Noto Sans CJK SC">
    <w:charset w:val="00"/>
    <w:family w:val="roman"/>
    <w:pitch w:val="default"/>
  </w:font>
  <w:font w:name="Lohit Devanagari">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31" w:rsidRDefault="005B0931">
    <w:pPr>
      <w:pStyle w:val="a7"/>
    </w:pPr>
  </w:p>
  <w:p w:rsidR="005B0931" w:rsidRDefault="00683440">
    <w:pPr>
      <w:pStyle w:val="a7"/>
      <w:tabs>
        <w:tab w:val="clear" w:pos="8306"/>
        <w:tab w:val="left" w:pos="4095"/>
        <w:tab w:val="left" w:pos="4153"/>
      </w:tabs>
      <w:ind w:right="360" w:firstLine="2160"/>
      <w:rPr>
        <w:rFonts w:ascii="Tahoma" w:hAnsi="Tahoma" w:cs="Cambria"/>
      </w:rPr>
    </w:pPr>
    <w:r>
      <w:rPr>
        <w:noProof/>
      </w:rPr>
      <w:drawing>
        <wp:inline distT="0" distB="0" distL="0" distR="0">
          <wp:extent cx="2879725" cy="393065"/>
          <wp:effectExtent l="0" t="0" r="0" b="0"/>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4"/>
                  <pic:cNvPicPr>
                    <a:picLocks noChangeAspect="1" noChangeArrowheads="1"/>
                  </pic:cNvPicPr>
                </pic:nvPicPr>
                <pic:blipFill>
                  <a:blip r:embed="rId1"/>
                  <a:stretch>
                    <a:fillRect/>
                  </a:stretch>
                </pic:blipFill>
                <pic:spPr bwMode="auto">
                  <a:xfrm>
                    <a:off x="0" y="0"/>
                    <a:ext cx="2879725" cy="3930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E35" w:rsidRDefault="00732E35">
      <w:r>
        <w:separator/>
      </w:r>
    </w:p>
  </w:footnote>
  <w:footnote w:type="continuationSeparator" w:id="0">
    <w:p w:rsidR="00732E35" w:rsidRDefault="00732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31" w:rsidRDefault="00683440">
    <w:pPr>
      <w:pStyle w:val="af1"/>
    </w:pPr>
    <w:r>
      <w:rPr>
        <w:noProof/>
      </w:rPr>
      <w:drawing>
        <wp:anchor distT="0" distB="0" distL="0" distR="0" simplePos="0" relativeHeight="3" behindDoc="1" locked="0" layoutInCell="1" allowOverlap="1">
          <wp:simplePos x="0" y="0"/>
          <wp:positionH relativeFrom="column">
            <wp:align>center</wp:align>
          </wp:positionH>
          <wp:positionV relativeFrom="margin">
            <wp:align>center</wp:align>
          </wp:positionV>
          <wp:extent cx="7559675" cy="10692130"/>
          <wp:effectExtent l="0" t="0" r="0" b="0"/>
          <wp:wrapNone/>
          <wp:docPr id="6" name="WordPictureWatermark575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5757642"/>
                  <pic:cNvPicPr>
                    <a:picLocks noChangeAspect="1" noChangeArrowheads="1"/>
                  </pic:cNvPicPr>
                </pic:nvPicPr>
                <pic:blipFill>
                  <a:blip r:embed="rId1"/>
                  <a:stretch>
                    <a:fillRect/>
                  </a:stretch>
                </pic:blipFill>
                <pic:spPr bwMode="auto">
                  <a:xfrm>
                    <a:off x="0" y="0"/>
                    <a:ext cx="7559675"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E2CD7"/>
    <w:multiLevelType w:val="multilevel"/>
    <w:tmpl w:val="E5162ED8"/>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8D0BEF"/>
    <w:multiLevelType w:val="multilevel"/>
    <w:tmpl w:val="288003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9A23CA"/>
    <w:multiLevelType w:val="multilevel"/>
    <w:tmpl w:val="771260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F3D3C3C"/>
    <w:multiLevelType w:val="hybridMultilevel"/>
    <w:tmpl w:val="17C08F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31"/>
    <w:rsid w:val="000452F8"/>
    <w:rsid w:val="000B72D5"/>
    <w:rsid w:val="00227156"/>
    <w:rsid w:val="002564DE"/>
    <w:rsid w:val="00284529"/>
    <w:rsid w:val="003C5C7B"/>
    <w:rsid w:val="005B0931"/>
    <w:rsid w:val="00665334"/>
    <w:rsid w:val="00683440"/>
    <w:rsid w:val="007143EF"/>
    <w:rsid w:val="00732E35"/>
    <w:rsid w:val="0078544D"/>
    <w:rsid w:val="00A92A7F"/>
    <w:rsid w:val="00BC4F8E"/>
    <w:rsid w:val="00EB7009"/>
    <w:rsid w:val="00FD70E8"/>
    <w:rsid w:val="00FE514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1842"/>
  <w15:docId w15:val="{331ADB89-2993-4D86-8E7B-9C0E3AFF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rPr>
      <w:color w:val="0000FF"/>
      <w:u w:val="single"/>
    </w:rPr>
  </w:style>
  <w:style w:type="character" w:customStyle="1" w:styleId="Verdana">
    <w:name w:val="Στυλ Verdana"/>
    <w:qFormat/>
    <w:rPr>
      <w:rFonts w:ascii="Verdana" w:hAnsi="Verdana"/>
      <w:sz w:val="20"/>
    </w:rPr>
  </w:style>
  <w:style w:type="character" w:customStyle="1" w:styleId="a4">
    <w:name w:val="Αγκίστρωση υποσημείωσης"/>
    <w:rPr>
      <w:vertAlign w:val="superscript"/>
    </w:rPr>
  </w:style>
  <w:style w:type="character" w:customStyle="1" w:styleId="FootnoteCharacters">
    <w:name w:val="Footnote Characters"/>
    <w:semiHidden/>
    <w:qFormat/>
    <w:rPr>
      <w:vertAlign w:val="superscript"/>
    </w:rPr>
  </w:style>
  <w:style w:type="character" w:customStyle="1" w:styleId="CharChar">
    <w:name w:val="Char Char"/>
    <w:qFormat/>
    <w:rPr>
      <w:sz w:val="24"/>
      <w:szCs w:val="24"/>
    </w:rPr>
  </w:style>
  <w:style w:type="character" w:styleId="a5">
    <w:name w:val="page number"/>
    <w:basedOn w:val="a0"/>
    <w:qFormat/>
    <w:rsid w:val="00467788"/>
  </w:style>
  <w:style w:type="character" w:customStyle="1" w:styleId="apple-converted-space">
    <w:name w:val="apple-converted-space"/>
    <w:basedOn w:val="a0"/>
    <w:qFormat/>
    <w:rsid w:val="00970F73"/>
  </w:style>
  <w:style w:type="character" w:styleId="a6">
    <w:name w:val="Strong"/>
    <w:qFormat/>
    <w:rsid w:val="006D64A8"/>
    <w:rPr>
      <w:b/>
      <w:bCs/>
    </w:rPr>
  </w:style>
  <w:style w:type="character" w:customStyle="1" w:styleId="Char1">
    <w:name w:val="Υποσέλιδο Char1"/>
    <w:link w:val="a7"/>
    <w:uiPriority w:val="99"/>
    <w:qFormat/>
    <w:rsid w:val="00D52C58"/>
    <w:rPr>
      <w:rFonts w:ascii="Consolas" w:eastAsia="Calibri" w:hAnsi="Consolas" w:cs="Times New Roman"/>
      <w:sz w:val="21"/>
      <w:szCs w:val="21"/>
      <w:lang w:val="el-GR"/>
    </w:rPr>
  </w:style>
  <w:style w:type="character" w:customStyle="1" w:styleId="Char">
    <w:name w:val="Κείμενο πλαισίου Char"/>
    <w:link w:val="a8"/>
    <w:qFormat/>
    <w:rsid w:val="0048686C"/>
    <w:rPr>
      <w:rFonts w:ascii="Tahoma" w:hAnsi="Tahoma" w:cs="Tahoma"/>
      <w:sz w:val="16"/>
      <w:szCs w:val="16"/>
    </w:rPr>
  </w:style>
  <w:style w:type="character" w:styleId="a9">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character" w:styleId="aa">
    <w:name w:val="Unresolved Mention"/>
    <w:uiPriority w:val="99"/>
    <w:semiHidden/>
    <w:unhideWhenUsed/>
    <w:qFormat/>
    <w:rsid w:val="009704E9"/>
    <w:rPr>
      <w:color w:val="605E5C"/>
      <w:shd w:val="clear" w:color="auto" w:fill="E1DFDD"/>
    </w:rPr>
  </w:style>
  <w:style w:type="character" w:styleId="-">
    <w:name w:val="FollowedHyperlink"/>
    <w:qFormat/>
    <w:rsid w:val="005444E0"/>
    <w:rPr>
      <w:color w:val="954F72"/>
      <w:u w:val="single"/>
    </w:rPr>
  </w:style>
  <w:style w:type="character" w:customStyle="1" w:styleId="Char0">
    <w:name w:val="Υποσέλιδο Char"/>
    <w:basedOn w:val="a0"/>
    <w:uiPriority w:val="99"/>
    <w:qFormat/>
    <w:rsid w:val="003769A9"/>
    <w:rPr>
      <w:sz w:val="24"/>
      <w:szCs w:val="24"/>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cs="Courier New"/>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rFonts w:cs="Courier New"/>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cs="Courier New"/>
    </w:rPr>
  </w:style>
  <w:style w:type="character" w:customStyle="1" w:styleId="ListLabel316">
    <w:name w:val="ListLabel 316"/>
    <w:qFormat/>
    <w:rPr>
      <w:rFonts w:cs="Courier New"/>
    </w:rPr>
  </w:style>
  <w:style w:type="character" w:customStyle="1" w:styleId="ListLabel317">
    <w:name w:val="ListLabel 317"/>
    <w:qFormat/>
    <w:rPr>
      <w:i w:val="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sz w:val="20"/>
    </w:rPr>
  </w:style>
  <w:style w:type="character" w:customStyle="1" w:styleId="ListLabel324">
    <w:name w:val="ListLabel 324"/>
    <w:qFormat/>
    <w:rPr>
      <w:sz w:val="20"/>
    </w:rPr>
  </w:style>
  <w:style w:type="character" w:customStyle="1" w:styleId="ListLabel325">
    <w:name w:val="ListLabel 325"/>
    <w:qFormat/>
    <w:rPr>
      <w:sz w:val="20"/>
    </w:rPr>
  </w:style>
  <w:style w:type="character" w:customStyle="1" w:styleId="ListLabel326">
    <w:name w:val="ListLabel 326"/>
    <w:qFormat/>
    <w:rPr>
      <w:sz w:val="20"/>
    </w:rPr>
  </w:style>
  <w:style w:type="character" w:customStyle="1" w:styleId="ListLabel357">
    <w:name w:val="ListLabel 357"/>
    <w:qFormat/>
    <w:rPr>
      <w:rFonts w:ascii="Arial" w:hAnsi="Arial" w:cs="Arial"/>
      <w:sz w:val="22"/>
      <w:szCs w:val="22"/>
    </w:rPr>
  </w:style>
  <w:style w:type="character" w:customStyle="1" w:styleId="ListLabel358">
    <w:name w:val="ListLabel 358"/>
    <w:qFormat/>
    <w:rPr>
      <w:rFonts w:ascii="Arial" w:hAnsi="Arial" w:cs="Arial"/>
      <w:sz w:val="22"/>
      <w:szCs w:val="22"/>
    </w:rPr>
  </w:style>
  <w:style w:type="paragraph" w:customStyle="1" w:styleId="ab">
    <w:name w:val="Επικεφαλίδα"/>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line="280" w:lineRule="atLeast"/>
      <w:jc w:val="both"/>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rPr>
  </w:style>
  <w:style w:type="paragraph" w:customStyle="1" w:styleId="af">
    <w:name w:val="Ευρετήριο"/>
    <w:basedOn w:val="a"/>
    <w:qFormat/>
    <w:pPr>
      <w:suppressLineNumbers/>
    </w:pPr>
    <w:rPr>
      <w:rFonts w:cs="Lohit Devanagari"/>
    </w:rPr>
  </w:style>
  <w:style w:type="paragraph" w:styleId="af0">
    <w:name w:val="Block Text"/>
    <w:basedOn w:val="a"/>
    <w:qFormat/>
    <w:pPr>
      <w:ind w:left="720" w:right="540" w:hanging="360"/>
    </w:pPr>
    <w:rPr>
      <w:rFonts w:eastAsia="SimSun"/>
      <w:szCs w:val="20"/>
    </w:rPr>
  </w:style>
  <w:style w:type="paragraph" w:styleId="a7">
    <w:name w:val="footer"/>
    <w:basedOn w:val="a"/>
    <w:link w:val="Char1"/>
    <w:uiPriority w:val="99"/>
    <w:pPr>
      <w:tabs>
        <w:tab w:val="center" w:pos="4153"/>
        <w:tab w:val="right" w:pos="8306"/>
      </w:tabs>
    </w:pPr>
  </w:style>
  <w:style w:type="paragraph" w:styleId="af1">
    <w:name w:val="header"/>
    <w:basedOn w:val="a"/>
    <w:pPr>
      <w:tabs>
        <w:tab w:val="center" w:pos="4153"/>
        <w:tab w:val="right" w:pos="8306"/>
      </w:tabs>
    </w:pPr>
  </w:style>
  <w:style w:type="paragraph" w:styleId="af2">
    <w:name w:val="List Paragraph"/>
    <w:basedOn w:val="a"/>
    <w:qFormat/>
    <w:pPr>
      <w:spacing w:line="300" w:lineRule="auto"/>
      <w:ind w:left="720"/>
      <w:jc w:val="both"/>
    </w:pPr>
    <w:rPr>
      <w:rFonts w:ascii="Arial" w:hAnsi="Arial"/>
      <w:sz w:val="22"/>
      <w:szCs w:val="20"/>
      <w:lang w:eastAsia="en-US"/>
    </w:rPr>
  </w:style>
  <w:style w:type="paragraph" w:styleId="af3">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qFormat/>
    <w:pPr>
      <w:spacing w:after="120" w:line="480" w:lineRule="auto"/>
    </w:pPr>
  </w:style>
  <w:style w:type="paragraph" w:styleId="30">
    <w:name w:val="Body Text 3"/>
    <w:basedOn w:val="a"/>
    <w:qFormat/>
    <w:pPr>
      <w:spacing w:after="120"/>
    </w:pPr>
    <w:rPr>
      <w:sz w:val="16"/>
      <w:szCs w:val="16"/>
    </w:rPr>
  </w:style>
  <w:style w:type="paragraph" w:styleId="af4">
    <w:name w:val="No Spacing"/>
    <w:uiPriority w:val="1"/>
    <w:qFormat/>
    <w:rsid w:val="00AB7464"/>
    <w:rPr>
      <w:rFonts w:ascii="Calibri" w:hAnsi="Calibri"/>
      <w:sz w:val="22"/>
      <w:szCs w:val="22"/>
    </w:rPr>
  </w:style>
  <w:style w:type="paragraph" w:styleId="af5">
    <w:name w:val="Plain Text"/>
    <w:basedOn w:val="a"/>
    <w:uiPriority w:val="99"/>
    <w:unhideWhenUsed/>
    <w:qFormat/>
    <w:rsid w:val="00D52C58"/>
    <w:rPr>
      <w:rFonts w:ascii="Consolas" w:eastAsia="Calibri" w:hAnsi="Consolas"/>
      <w:sz w:val="21"/>
      <w:szCs w:val="21"/>
      <w:lang w:eastAsia="x-none"/>
    </w:rPr>
  </w:style>
  <w:style w:type="paragraph" w:styleId="a8">
    <w:name w:val="Balloon Text"/>
    <w:basedOn w:val="a"/>
    <w:link w:val="Char"/>
    <w:qFormat/>
    <w:rsid w:val="0048686C"/>
    <w:rPr>
      <w:rFonts w:ascii="Tahoma" w:hAnsi="Tahoma"/>
      <w:sz w:val="16"/>
      <w:szCs w:val="16"/>
      <w:lang w:val="x-none" w:eastAsia="x-non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paragraph" w:customStyle="1" w:styleId="af6">
    <w:name w:val="Περιεχόμενα πλαισίου"/>
    <w:basedOn w:val="a"/>
    <w:qFormat/>
  </w:style>
  <w:style w:type="table" w:styleId="af7">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Hyperlink"/>
    <w:basedOn w:val="a0"/>
    <w:rsid w:val="000B72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56307">
      <w:bodyDiv w:val="1"/>
      <w:marLeft w:val="0"/>
      <w:marRight w:val="0"/>
      <w:marTop w:val="0"/>
      <w:marBottom w:val="0"/>
      <w:divBdr>
        <w:top w:val="none" w:sz="0" w:space="0" w:color="auto"/>
        <w:left w:val="none" w:sz="0" w:space="0" w:color="auto"/>
        <w:bottom w:val="none" w:sz="0" w:space="0" w:color="auto"/>
        <w:right w:val="none" w:sz="0" w:space="0" w:color="auto"/>
      </w:divBdr>
    </w:div>
    <w:div w:id="904684612">
      <w:bodyDiv w:val="1"/>
      <w:marLeft w:val="0"/>
      <w:marRight w:val="0"/>
      <w:marTop w:val="0"/>
      <w:marBottom w:val="0"/>
      <w:divBdr>
        <w:top w:val="none" w:sz="0" w:space="0" w:color="auto"/>
        <w:left w:val="none" w:sz="0" w:space="0" w:color="auto"/>
        <w:bottom w:val="none" w:sz="0" w:space="0" w:color="auto"/>
        <w:right w:val="none" w:sz="0" w:space="0" w:color="auto"/>
      </w:divBdr>
    </w:div>
    <w:div w:id="146010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ed.gr/anoikta-programma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endyseis.gr/m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6EF9-386F-44A0-91D0-F03F1042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2166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dc:description/>
  <cp:lastModifiedBy>J.M</cp:lastModifiedBy>
  <cp:revision>3</cp:revision>
  <cp:lastPrinted>2022-03-16T15:08:00Z</cp:lastPrinted>
  <dcterms:created xsi:type="dcterms:W3CDTF">2022-04-07T10:27:00Z</dcterms:created>
  <dcterms:modified xsi:type="dcterms:W3CDTF">2022-04-07T10:45:00Z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