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7"/>
        <w:gridCol w:w="1080"/>
        <w:gridCol w:w="3338"/>
        <w:gridCol w:w="5392"/>
        <w:gridCol w:w="142"/>
      </w:tblGrid>
      <w:tr w:rsidR="00AC424F" w:rsidRPr="00A26C07" w:rsidTr="00EF30B0">
        <w:tc>
          <w:tcPr>
            <w:tcW w:w="4535" w:type="dxa"/>
            <w:gridSpan w:val="3"/>
          </w:tcPr>
          <w:p w:rsidR="00AC424F" w:rsidRPr="00A26C07" w:rsidRDefault="008253D9" w:rsidP="008253D9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bookmarkStart w:id="0" w:name="_GoBack"/>
            <w:bookmarkEnd w:id="0"/>
            <w:r w:rsidRPr="00A26C07">
              <w:rPr>
                <w:rFonts w:ascii="Times New Roman" w:hAnsi="Times New Roman" w:cs="Times New Roman"/>
                <w:color w:val="0000FF"/>
                <w:sz w:val="24"/>
                <w:szCs w:val="24"/>
                <w:lang w:val="el-GR"/>
              </w:rPr>
              <w:t xml:space="preserve">                         </w:t>
            </w:r>
            <w:r w:rsidR="005920FC" w:rsidRPr="00A26C0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47.55pt" o:ole="">
                  <v:imagedata r:id="rId12" o:title=""/>
                </v:shape>
                <o:OLEObject Type="Embed" ProgID="PBrush" ShapeID="_x0000_i1025" DrawAspect="Content" ObjectID="_1798376417" r:id="rId13"/>
              </w:object>
            </w:r>
          </w:p>
        </w:tc>
        <w:tc>
          <w:tcPr>
            <w:tcW w:w="5534" w:type="dxa"/>
            <w:gridSpan w:val="2"/>
          </w:tcPr>
          <w:p w:rsidR="00AC424F" w:rsidRPr="00A26C07" w:rsidRDefault="00AC424F" w:rsidP="008C5858">
            <w:pPr>
              <w:ind w:left="2083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AC424F" w:rsidRPr="00E2317B" w:rsidTr="00587911">
        <w:trPr>
          <w:trHeight w:val="1306"/>
        </w:trPr>
        <w:tc>
          <w:tcPr>
            <w:tcW w:w="4535" w:type="dxa"/>
            <w:gridSpan w:val="3"/>
          </w:tcPr>
          <w:p w:rsidR="009F5975" w:rsidRPr="009B6405" w:rsidRDefault="009F5975" w:rsidP="00564154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</w:p>
          <w:p w:rsidR="00DF582C" w:rsidRPr="009B6405" w:rsidRDefault="00AC424F" w:rsidP="00564154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9B6405">
              <w:rPr>
                <w:rFonts w:ascii="Times New Roman" w:hAnsi="Times New Roman" w:cs="Times New Roman"/>
                <w:b/>
                <w:lang w:val="el-GR"/>
              </w:rPr>
              <w:t xml:space="preserve">ΠΡΕΣΒΕΙΑ ΤΗΣ ΕΛΛΑΔΟΣ </w:t>
            </w:r>
          </w:p>
          <w:p w:rsidR="00AC424F" w:rsidRPr="009B6405" w:rsidRDefault="00AC424F" w:rsidP="00564154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9B6405">
              <w:rPr>
                <w:rFonts w:ascii="Times New Roman" w:hAnsi="Times New Roman" w:cs="Times New Roman"/>
                <w:b/>
                <w:lang w:val="el-GR"/>
              </w:rPr>
              <w:t>ΒΕΡΟΛΙΝΟ</w:t>
            </w:r>
          </w:p>
          <w:p w:rsidR="00AC424F" w:rsidRPr="00587911" w:rsidRDefault="000F4FF8" w:rsidP="00587911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9B6405">
              <w:rPr>
                <w:rFonts w:ascii="Times New Roman" w:hAnsi="Times New Roman" w:cs="Times New Roman"/>
                <w:b/>
                <w:lang w:val="el-GR"/>
              </w:rPr>
              <w:t>ΓΡΑΦΕΙΟ ΟΙΚΟΝ</w:t>
            </w:r>
            <w:r w:rsidR="00587911">
              <w:rPr>
                <w:rFonts w:ascii="Times New Roman" w:hAnsi="Times New Roman" w:cs="Times New Roman"/>
                <w:b/>
                <w:lang w:val="el-GR"/>
              </w:rPr>
              <w:t xml:space="preserve">ΟΜΙΚΩΝ ΚΑΙ ΕΜΠΟΡΙΚΩΝ ΥΠΟΘΕΣΕΩΝ </w:t>
            </w:r>
          </w:p>
        </w:tc>
        <w:tc>
          <w:tcPr>
            <w:tcW w:w="5534" w:type="dxa"/>
            <w:gridSpan w:val="2"/>
          </w:tcPr>
          <w:p w:rsidR="00B125C0" w:rsidRPr="00FB58B8" w:rsidRDefault="000D72B9" w:rsidP="000D72B9">
            <w:pPr>
              <w:ind w:left="2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                </w:t>
            </w:r>
            <w:r w:rsidR="00C349B0"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 </w:t>
            </w:r>
            <w:r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ΑΔΙΑΒΑΘΜΗΤΟ </w:t>
            </w:r>
            <w:r w:rsidR="007A734B"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</w:p>
          <w:p w:rsidR="00AC424F" w:rsidRPr="00FB58B8" w:rsidRDefault="00E2317B" w:rsidP="00E2317B">
            <w:pPr>
              <w:ind w:left="17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                                 </w:t>
            </w:r>
            <w:r w:rsidR="003340ED" w:rsidRPr="00FB58B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ΚΑΝΟΝΙΚΟ</w:t>
            </w:r>
          </w:p>
          <w:p w:rsidR="00297FAD" w:rsidRPr="00FB58B8" w:rsidRDefault="00297FAD" w:rsidP="00297F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  <w:tbl>
            <w:tblPr>
              <w:tblW w:w="5080" w:type="dxa"/>
              <w:tblLayout w:type="fixed"/>
              <w:tblLook w:val="04A0" w:firstRow="1" w:lastRow="0" w:firstColumn="1" w:lastColumn="0" w:noHBand="0" w:noVBand="1"/>
            </w:tblPr>
            <w:tblGrid>
              <w:gridCol w:w="5080"/>
            </w:tblGrid>
            <w:tr w:rsidR="00AC424F" w:rsidRPr="00FB58B8" w:rsidTr="00A47900">
              <w:tc>
                <w:tcPr>
                  <w:tcW w:w="5080" w:type="dxa"/>
                </w:tcPr>
                <w:p w:rsidR="00AC424F" w:rsidRPr="00FB58B8" w:rsidRDefault="005A6D96" w:rsidP="00BD2BEB">
                  <w:pPr>
                    <w:ind w:left="1936" w:hanging="180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Βερολίνο</w:t>
                  </w:r>
                  <w:r w:rsidR="008253D9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,</w:t>
                  </w:r>
                  <w:r w:rsidR="00334D4A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</w:t>
                  </w:r>
                  <w:r w:rsidR="00800F49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1</w:t>
                  </w:r>
                  <w:r w:rsidR="00BD2BEB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4</w:t>
                  </w:r>
                  <w:r w:rsidR="00800F49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Ιανουαρίου 2025</w:t>
                  </w:r>
                </w:p>
              </w:tc>
            </w:tr>
            <w:tr w:rsidR="00AC424F" w:rsidRPr="00FB58B8" w:rsidTr="00A47900">
              <w:tc>
                <w:tcPr>
                  <w:tcW w:w="5080" w:type="dxa"/>
                </w:tcPr>
                <w:p w:rsidR="00AC424F" w:rsidRPr="00FB58B8" w:rsidRDefault="00AC424F" w:rsidP="007D0EB1">
                  <w:pPr>
                    <w:ind w:left="1756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Α.Π.</w:t>
                  </w:r>
                  <w:r w:rsidR="008A23F6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Φ.</w:t>
                  </w:r>
                  <w:r w:rsidR="007C6BB8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</w:t>
                  </w:r>
                  <w:r w:rsidR="00D050C9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19</w:t>
                  </w:r>
                  <w:r w:rsid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3</w:t>
                  </w:r>
                  <w:r w:rsidR="00D050C9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0</w:t>
                  </w:r>
                  <w:r w:rsidR="00F622FD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</w:t>
                  </w:r>
                  <w:r w:rsidR="001B048E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/</w:t>
                  </w:r>
                  <w:r w:rsidR="00F622FD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</w:t>
                  </w:r>
                  <w:r w:rsidR="00B729EC" w:rsidRPr="00FB58B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ΑΣ </w:t>
                  </w:r>
                  <w:r w:rsidR="008974AA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77</w:t>
                  </w:r>
                </w:p>
              </w:tc>
            </w:tr>
          </w:tbl>
          <w:p w:rsidR="00AC424F" w:rsidRPr="00A26C07" w:rsidRDefault="00AC424F" w:rsidP="00564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135386" w:rsidRPr="005D2EC1" w:rsidTr="00135386">
        <w:trPr>
          <w:trHeight w:val="223"/>
        </w:trPr>
        <w:tc>
          <w:tcPr>
            <w:tcW w:w="4535" w:type="dxa"/>
            <w:gridSpan w:val="3"/>
          </w:tcPr>
          <w:p w:rsidR="00135386" w:rsidRDefault="00135386" w:rsidP="00135386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135386">
              <w:rPr>
                <w:rFonts w:ascii="Times New Roman" w:hAnsi="Times New Roman" w:cs="Times New Roman"/>
                <w:lang w:val="el-GR"/>
              </w:rPr>
              <w:t xml:space="preserve">Αρμόδιος: Ιωάννης </w:t>
            </w:r>
            <w:proofErr w:type="spellStart"/>
            <w:r w:rsidRPr="00135386">
              <w:rPr>
                <w:rFonts w:ascii="Times New Roman" w:hAnsi="Times New Roman" w:cs="Times New Roman"/>
                <w:lang w:val="el-GR"/>
              </w:rPr>
              <w:t>Μαρούτσος</w:t>
            </w:r>
            <w:proofErr w:type="spellEnd"/>
            <w:r w:rsidRPr="00135386">
              <w:rPr>
                <w:rFonts w:ascii="Times New Roman" w:hAnsi="Times New Roman" w:cs="Times New Roman"/>
                <w:lang w:val="el-GR"/>
              </w:rPr>
              <w:t xml:space="preserve">, </w:t>
            </w:r>
            <w:proofErr w:type="spellStart"/>
            <w:r w:rsidRPr="00135386">
              <w:rPr>
                <w:rFonts w:ascii="Times New Roman" w:hAnsi="Times New Roman" w:cs="Times New Roman"/>
                <w:lang w:val="el-GR"/>
              </w:rPr>
              <w:t>Γρ</w:t>
            </w:r>
            <w:proofErr w:type="spellEnd"/>
            <w:r w:rsidRPr="00135386">
              <w:rPr>
                <w:rFonts w:ascii="Times New Roman" w:hAnsi="Times New Roman" w:cs="Times New Roman"/>
                <w:lang w:val="el-GR"/>
              </w:rPr>
              <w:t xml:space="preserve">. ΟΕΥ </w:t>
            </w:r>
            <w:r w:rsidR="006B03ED">
              <w:rPr>
                <w:rFonts w:ascii="Times New Roman" w:hAnsi="Times New Roman" w:cs="Times New Roman"/>
                <w:lang w:val="el-GR"/>
              </w:rPr>
              <w:t>Α</w:t>
            </w:r>
            <w:r w:rsidRPr="00135386">
              <w:rPr>
                <w:rFonts w:ascii="Times New Roman" w:hAnsi="Times New Roman" w:cs="Times New Roman"/>
                <w:lang w:val="el-GR"/>
              </w:rPr>
              <w:t>’</w:t>
            </w:r>
          </w:p>
          <w:p w:rsidR="00E9711B" w:rsidRPr="00135386" w:rsidRDefault="00E9711B" w:rsidP="00135386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</w:p>
        </w:tc>
        <w:tc>
          <w:tcPr>
            <w:tcW w:w="5534" w:type="dxa"/>
            <w:gridSpan w:val="2"/>
          </w:tcPr>
          <w:p w:rsidR="00135386" w:rsidRPr="00A26C07" w:rsidRDefault="00135386" w:rsidP="000D72B9">
            <w:pPr>
              <w:ind w:left="2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EF30B0" w:rsidRPr="005D2EC1" w:rsidTr="00EF30B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17" w:type="dxa"/>
          <w:wAfter w:w="142" w:type="dxa"/>
        </w:trPr>
        <w:tc>
          <w:tcPr>
            <w:tcW w:w="1080" w:type="dxa"/>
          </w:tcPr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ΠΡΟΣ:</w:t>
            </w: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3D360D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ΚΟΙΝ</w:t>
            </w:r>
            <w:proofErr w:type="spellEnd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:</w:t>
            </w: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571108" w:rsidRPr="00FB58B8" w:rsidRDefault="00571108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89645A" w:rsidRPr="00FB58B8" w:rsidRDefault="0089645A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89645A" w:rsidRPr="00FB58B8" w:rsidRDefault="0089645A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89645A" w:rsidRPr="00FB58B8" w:rsidRDefault="0089645A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89645A" w:rsidRPr="00FB58B8" w:rsidRDefault="0089645A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337A04" w:rsidRPr="00FB58B8" w:rsidRDefault="00337A04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337A04" w:rsidRPr="00FB58B8" w:rsidRDefault="00337A04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135386" w:rsidRPr="00FB58B8" w:rsidRDefault="00135386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587911" w:rsidRPr="00FB58B8" w:rsidRDefault="00587911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393D06" w:rsidRPr="00FB58B8" w:rsidRDefault="00393D06" w:rsidP="00EF30B0">
            <w:pPr>
              <w:ind w:left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proofErr w:type="spellStart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Ε.Δ</w:t>
            </w:r>
            <w:proofErr w:type="spellEnd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.:</w:t>
            </w:r>
          </w:p>
        </w:tc>
        <w:tc>
          <w:tcPr>
            <w:tcW w:w="8730" w:type="dxa"/>
            <w:gridSpan w:val="2"/>
          </w:tcPr>
          <w:p w:rsidR="00290E3B" w:rsidRPr="00FB58B8" w:rsidRDefault="0089645A" w:rsidP="00A94F9F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proofErr w:type="spellStart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ΥΠΕΞ</w:t>
            </w:r>
            <w:proofErr w:type="spellEnd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/ Β3</w:t>
            </w:r>
            <w:r w:rsidR="00FB58B8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, Β7</w:t>
            </w: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A5388C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Δ/</w:t>
            </w:r>
            <w:proofErr w:type="spellStart"/>
            <w:r w:rsidR="00A5388C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νσ</w:t>
            </w:r>
            <w:r w:rsidR="00FB58B8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εις</w:t>
            </w:r>
            <w:proofErr w:type="spellEnd"/>
          </w:p>
          <w:p w:rsidR="00290E3B" w:rsidRPr="00FB58B8" w:rsidRDefault="00290E3B" w:rsidP="00A94F9F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B71761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proofErr w:type="spellStart"/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ΥΠΕΞ</w:t>
            </w:r>
            <w:proofErr w:type="spellEnd"/>
            <w:r w:rsidR="00C50CA3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(μέσω </w:t>
            </w:r>
            <w:proofErr w:type="spellStart"/>
            <w:r w:rsidR="00C50CA3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ΣΗΔΕ</w:t>
            </w:r>
            <w:proofErr w:type="spellEnd"/>
            <w:r w:rsidR="00A94F9F"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)</w:t>
            </w:r>
          </w:p>
          <w:p w:rsidR="00EF30B0" w:rsidRPr="00FB58B8" w:rsidRDefault="00EF30B0" w:rsidP="00B71761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-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ΔΓ</w:t>
            </w:r>
            <w:proofErr w:type="spellEnd"/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Π</w:t>
            </w:r>
            <w:r w:rsidR="00AF06A2"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ρωθυπουργού</w:t>
            </w:r>
          </w:p>
          <w:p w:rsidR="00EF30B0" w:rsidRPr="00FB58B8" w:rsidRDefault="00EF30B0" w:rsidP="00B71761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-ΔΓ Υπουργού</w:t>
            </w:r>
          </w:p>
          <w:p w:rsidR="00EF30B0" w:rsidRPr="00FB58B8" w:rsidRDefault="00EF30B0" w:rsidP="00B71761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-ΔΓ ΥΦΥΠΕΞ κ. Φραγκογιάννη</w:t>
            </w:r>
          </w:p>
          <w:p w:rsidR="00EF30B0" w:rsidRPr="00FB58B8" w:rsidRDefault="00EF30B0" w:rsidP="00B71761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-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Γρ</w:t>
            </w:r>
            <w:proofErr w:type="spellEnd"/>
            <w:r w:rsidR="00571108"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.</w:t>
            </w: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ΓΓ ΔΟΣ</w:t>
            </w:r>
            <w:r w:rsidR="00D77692"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&amp; Εξ</w:t>
            </w:r>
            <w:r w:rsidR="00571108"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ωστρέφειας</w:t>
            </w:r>
          </w:p>
          <w:p w:rsidR="00EF30B0" w:rsidRPr="00FB58B8" w:rsidRDefault="00EF30B0" w:rsidP="009B4F90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-</w:t>
            </w:r>
            <w:r w:rsidR="00E9711B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κ. </w:t>
            </w:r>
            <w:proofErr w:type="spellStart"/>
            <w:r w:rsidR="00A94F9F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Β</w:t>
            </w:r>
            <w:r w:rsidR="00E63897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΄</w:t>
            </w:r>
            <w:proofErr w:type="spellEnd"/>
            <w:r w:rsidR="00A94F9F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="00E9711B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Γεν. Διευθυντή</w:t>
            </w:r>
          </w:p>
          <w:p w:rsidR="0089645A" w:rsidRPr="00FB58B8" w:rsidRDefault="00EF30B0" w:rsidP="00D86AC4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-</w:t>
            </w:r>
            <w:proofErr w:type="spellStart"/>
            <w:r w:rsidR="0089645A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Α1</w:t>
            </w:r>
            <w:proofErr w:type="spellEnd"/>
            <w:r w:rsidR="000967B6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, Β1</w:t>
            </w:r>
            <w:r w:rsidR="00587911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, </w:t>
            </w:r>
            <w:r w:rsidR="00841827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Δ/</w:t>
            </w:r>
            <w:proofErr w:type="spellStart"/>
            <w:r w:rsidR="00841827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νσ</w:t>
            </w:r>
            <w:r w:rsidR="000967B6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εις</w:t>
            </w:r>
            <w:proofErr w:type="spellEnd"/>
          </w:p>
          <w:p w:rsidR="00587911" w:rsidRPr="00FB58B8" w:rsidRDefault="00587911" w:rsidP="00D86AC4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-ΜΑ ΕΕ</w:t>
            </w:r>
          </w:p>
          <w:p w:rsidR="00587911" w:rsidRPr="00FB58B8" w:rsidRDefault="00587911" w:rsidP="00D86AC4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-Πρεσβείες </w:t>
            </w:r>
            <w:r w:rsidR="00FB58B8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κρατών-μελών ΕΕ, </w:t>
            </w:r>
            <w:r w:rsid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Μόσχας, </w:t>
            </w:r>
            <w:r w:rsidR="002D118B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Όσλο</w:t>
            </w:r>
            <w:r w:rsidR="00FB58B8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, </w:t>
            </w:r>
            <w:proofErr w:type="spellStart"/>
            <w:r w:rsidR="00FB58B8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Ουάσιγκτων</w:t>
            </w:r>
            <w:proofErr w:type="spellEnd"/>
            <w:r w:rsidR="00FB58B8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και </w:t>
            </w:r>
            <w:proofErr w:type="spellStart"/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Γρ</w:t>
            </w:r>
            <w:proofErr w:type="spellEnd"/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. ΟΕΥ αυτών</w:t>
            </w:r>
          </w:p>
          <w:p w:rsidR="00135386" w:rsidRPr="00FB58B8" w:rsidRDefault="00135386" w:rsidP="00135386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-Προξενικές Αρχές στην </w:t>
            </w:r>
            <w:proofErr w:type="spellStart"/>
            <w:r w:rsidRPr="00FB58B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ΟΔΓ</w:t>
            </w:r>
            <w:proofErr w:type="spellEnd"/>
            <w:r w:rsidRPr="00FB58B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και Γραφεία ΟΕΥ αυτών </w:t>
            </w:r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(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μ.η</w:t>
            </w:r>
            <w:proofErr w:type="spellEnd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.)</w:t>
            </w:r>
          </w:p>
          <w:p w:rsidR="0089645A" w:rsidRPr="00FB58B8" w:rsidRDefault="0089645A" w:rsidP="00D86AC4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</w:p>
          <w:p w:rsidR="00FB58B8" w:rsidRPr="00FB58B8" w:rsidRDefault="00FB58B8" w:rsidP="00FB58B8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Υπουργείο Περιβάλλοντος και Ενέργειας</w:t>
            </w:r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μ.η</w:t>
            </w:r>
            <w:proofErr w:type="spellEnd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.)</w:t>
            </w:r>
          </w:p>
          <w:p w:rsidR="00FB58B8" w:rsidRPr="00FB58B8" w:rsidRDefault="00FB58B8" w:rsidP="00FB58B8">
            <w:pPr>
              <w:ind w:left="-1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 xml:space="preserve">-Γραφείο Υπουργού </w:t>
            </w:r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(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Υπ΄</w:t>
            </w:r>
            <w:proofErr w:type="spellEnd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 xml:space="preserve"> όψιν </w:t>
            </w:r>
            <w:proofErr w:type="spellStart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Διπλ</w:t>
            </w:r>
            <w:proofErr w:type="spellEnd"/>
            <w:r w:rsidRPr="00FB58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  <w:t>. Συμβούλου)</w:t>
            </w:r>
          </w:p>
          <w:p w:rsidR="00FB58B8" w:rsidRPr="00FB58B8" w:rsidRDefault="00FB58B8" w:rsidP="00FB58B8">
            <w:pPr>
              <w:ind w:left="-1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l-GR"/>
              </w:rPr>
            </w:pPr>
          </w:p>
          <w:p w:rsidR="00FB58B8" w:rsidRPr="00FB58B8" w:rsidRDefault="00FB58B8" w:rsidP="00FB58B8">
            <w:pPr>
              <w:ind w:left="-10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l-GR"/>
              </w:rPr>
              <w:t xml:space="preserve">Επιμελητήρια, Σύνδεσμοι και Ενώσεις στην Ελλάδα </w:t>
            </w:r>
            <w:r w:rsidRPr="00FB58B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l-GR"/>
              </w:rPr>
              <w:t>(</w:t>
            </w:r>
            <w:proofErr w:type="spellStart"/>
            <w:r w:rsidRPr="00FB58B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l-GR"/>
              </w:rPr>
              <w:t>μ.η</w:t>
            </w:r>
            <w:proofErr w:type="spellEnd"/>
            <w:r w:rsidRPr="00FB58B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l-GR"/>
              </w:rPr>
              <w:t>.)</w:t>
            </w:r>
          </w:p>
          <w:p w:rsidR="009F4F76" w:rsidRPr="00FB58B8" w:rsidRDefault="009F4F76" w:rsidP="00D86AC4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:rsidR="00EF30B0" w:rsidRPr="00FB58B8" w:rsidRDefault="00EF30B0" w:rsidP="00567DE2">
            <w:pPr>
              <w:ind w:lef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Γραφείο </w:t>
            </w:r>
            <w:r w:rsidR="00567DE2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κ.</w:t>
            </w:r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Πρέσβ</w:t>
            </w:r>
            <w:r w:rsidR="00567DE2"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υ</w:t>
            </w:r>
            <w:proofErr w:type="spellEnd"/>
            <w:r w:rsidRPr="00FB58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5F0BEE" w:rsidRPr="005D2EC1" w:rsidTr="00EF30B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17" w:type="dxa"/>
          <w:wAfter w:w="142" w:type="dxa"/>
          <w:trHeight w:val="247"/>
        </w:trPr>
        <w:tc>
          <w:tcPr>
            <w:tcW w:w="1080" w:type="dxa"/>
          </w:tcPr>
          <w:p w:rsidR="005F0BEE" w:rsidRPr="002A1878" w:rsidRDefault="005F0BEE" w:rsidP="00AD6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730" w:type="dxa"/>
            <w:gridSpan w:val="2"/>
          </w:tcPr>
          <w:p w:rsidR="00EF30B0" w:rsidRPr="002A1878" w:rsidRDefault="00EF30B0" w:rsidP="00CD2D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DE0CAE" w:rsidRPr="005D2EC1" w:rsidTr="00EF30B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17" w:type="dxa"/>
          <w:wAfter w:w="142" w:type="dxa"/>
        </w:trPr>
        <w:tc>
          <w:tcPr>
            <w:tcW w:w="1080" w:type="dxa"/>
          </w:tcPr>
          <w:p w:rsidR="001905C6" w:rsidRPr="00FB58B8" w:rsidRDefault="00DE0CAE" w:rsidP="000C1A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ΘΕΜΑ:</w:t>
            </w:r>
          </w:p>
        </w:tc>
        <w:tc>
          <w:tcPr>
            <w:tcW w:w="8730" w:type="dxa"/>
            <w:gridSpan w:val="2"/>
          </w:tcPr>
          <w:p w:rsidR="00D77692" w:rsidRPr="00FB58B8" w:rsidRDefault="00FB58B8" w:rsidP="00E231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l-GR"/>
              </w:rPr>
            </w:pPr>
            <w:r w:rsidRPr="00FB58B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l-GR"/>
              </w:rPr>
              <w:t xml:space="preserve">Στοιχεία </w:t>
            </w:r>
            <w:proofErr w:type="spellStart"/>
            <w:r w:rsidRPr="00F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Bundesnetzagentur</w:t>
            </w:r>
            <w:proofErr w:type="spellEnd"/>
            <w:r w:rsidRPr="00F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για την προμήθεια / κατανάλωση φ/α στη Γερμανία το 2024</w:t>
            </w:r>
          </w:p>
        </w:tc>
      </w:tr>
      <w:tr w:rsidR="00242BAA" w:rsidRPr="005D2EC1" w:rsidTr="00EF30B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17" w:type="dxa"/>
          <w:wAfter w:w="142" w:type="dxa"/>
        </w:trPr>
        <w:tc>
          <w:tcPr>
            <w:tcW w:w="1080" w:type="dxa"/>
          </w:tcPr>
          <w:p w:rsidR="00242BAA" w:rsidRPr="00587911" w:rsidRDefault="00242BAA" w:rsidP="004A330F">
            <w:pPr>
              <w:jc w:val="both"/>
              <w:rPr>
                <w:rFonts w:ascii="Times New Roman" w:hAnsi="Times New Roman" w:cs="Times New Roman"/>
                <w:b/>
                <w:bCs/>
                <w:lang w:val="el-GR"/>
              </w:rPr>
            </w:pPr>
          </w:p>
        </w:tc>
        <w:tc>
          <w:tcPr>
            <w:tcW w:w="8730" w:type="dxa"/>
            <w:gridSpan w:val="2"/>
          </w:tcPr>
          <w:p w:rsidR="00242BAA" w:rsidRPr="00587911" w:rsidRDefault="00242BAA" w:rsidP="00E2317B">
            <w:pPr>
              <w:jc w:val="both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l-GR"/>
              </w:rPr>
            </w:pPr>
          </w:p>
        </w:tc>
      </w:tr>
    </w:tbl>
    <w:p w:rsidR="005D2EC1" w:rsidRPr="00FB58B8" w:rsidRDefault="005D2EC1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Τα ετήσια στατιστικά στοιχεία για την προμήθεια / κατανάλωση φ/α στη Γερμανία 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το 2024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δημοσίευσε (08.01.25) η Γερμανική Υπηρεσία Δικτύων (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Bundesnetzagentur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), όπως αυτά προκύπτουν από τη βάση ενεργειακών δεδομένων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SMARD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 Αναλυτικότερα:</w:t>
      </w:r>
    </w:p>
    <w:p w:rsidR="005D2EC1" w:rsidRPr="00FB58B8" w:rsidRDefault="005D2EC1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5D2EC1" w:rsidRPr="00FB58B8" w:rsidRDefault="005D2EC1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Η κατανάλωση φ/α στη Γερμανία αυξήθηκε ελαφρώς συγκριτικά με το 2023</w:t>
      </w:r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: Καταναλώθηκαν συνολικά 844 </w:t>
      </w:r>
      <w:proofErr w:type="spellStart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φ/α το 2024, 3,5% 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μεγαλύτερη ποσότητα</w:t>
      </w:r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από </w:t>
      </w:r>
      <w:proofErr w:type="spellStart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ό,τι</w:t>
      </w:r>
      <w:proofErr w:type="spellEnd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το προηγούμενο έτος (2023: 811,5 </w:t>
      </w:r>
      <w:proofErr w:type="spellStart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). Περίπου το 39% της συνολικής γ/κατανάλωσης αφορά σε νοικοκυριά και επιχειρήσεις και το 61% σε βιομηχανικούς πελάτες. Ωστόσο, σε σύγκριση με τη μέση κατανάλωση 2018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-</w:t>
      </w:r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2021, η γ/κατανάλωση φ/α έχει μειωθεί κατά 14%: οι οικιακοί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/</w:t>
      </w:r>
      <w:r w:rsidR="00C3150C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εμπορικοί πελάτες εξοικονόμησαν 17%, ενώ οι βιομηχανικοί 12%.</w:t>
      </w:r>
    </w:p>
    <w:p w:rsidR="00C3150C" w:rsidRPr="00FB58B8" w:rsidRDefault="00C3150C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C3150C" w:rsidRPr="00FB58B8" w:rsidRDefault="00C3150C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Σύμφωνα με προκαταρκτικά στοιχεία, οι γερμανικές εισαγωγές φ/α ανήλθαν σε 865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(2023: 968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). Οι μεγαλύτεροι προμηθευτές αερίου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της Γερμανίας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ήταν η Νορβηγία (48%), η Ολλανδία (25%) και το Βέλγιο (18%). 69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φ/α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εισήχθησαν μέσω των τερματικών σταθμών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LNG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(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Wilhelmshaven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Brunsbüttel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Lubmin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και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Mukran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), με το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LNG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να αντιπροσωπεύει το 8% των συνολικών εισαγωγών.</w:t>
      </w:r>
    </w:p>
    <w:p w:rsidR="00F96905" w:rsidRPr="00FB58B8" w:rsidRDefault="00F96905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FB58B8" w:rsidRPr="00FB58B8" w:rsidRDefault="00F96905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 Νορβηγία, που βρισκόταν για πολλά χρόνια στη δεύτερη θέση των προμηθευτών, κατέλαβε το 2024 την 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κορυφή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ύστερ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από τη διακοπή εισαγωγών από τη Ρωσία. Σε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ό,τι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δε αφορά το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LNG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το ποσοστό συμμετοχής του παραμένει χαμηλό παρά την επιτάχυνση κατασκευής σειράς σταθμών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FSRU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για την υποδοχή του. </w:t>
      </w:r>
    </w:p>
    <w:p w:rsidR="00FB58B8" w:rsidRPr="00FB58B8" w:rsidRDefault="00FB58B8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FB58B8" w:rsidRPr="00FB58B8" w:rsidRDefault="00F96905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Ενδιαφέρον παρουσιάζει το γεγονός πως, σύμφωνα με την πλατφόρμα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ALSI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της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Gas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Infrastructure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Europe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(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GIE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), 86% του εισαγόμενου στη Γερμανία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LNG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προέρχεται από τις ΗΠΑ. Όπως επισημαίνει σχετικά ο ερευνητής του ιδρύματος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SWP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Pepe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r w:rsidRPr="00FB58B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 xml:space="preserve">«το μερίδιο του </w:t>
      </w:r>
      <w:r w:rsidRPr="00FB58B8">
        <w:rPr>
          <w:rFonts w:ascii="Times New Roman" w:eastAsia="Times New Roman" w:hAnsi="Times New Roman" w:cs="Times New Roman"/>
          <w:bCs/>
          <w:i/>
          <w:sz w:val="24"/>
          <w:szCs w:val="24"/>
        </w:rPr>
        <w:t>LNG</w:t>
      </w:r>
      <w:r w:rsidRPr="00FB58B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 xml:space="preserve"> στις συνολικές εισαγωγές φ/α στη Γερμανία παραμένει σχετικά χαμηλό, αλλά σε έκτακτες περιπτώσεις, π.χ. όταν ένας αγωγός αντιμετωπίζει πρόβλημα, οι εξαγωγείς των ΗΠΑ είναι επί του παρόντος οι μόνοι που μπορούν να προμηθεύουν </w:t>
      </w:r>
      <w:r w:rsidRPr="00FB58B8">
        <w:rPr>
          <w:rFonts w:ascii="Times New Roman" w:eastAsia="Times New Roman" w:hAnsi="Times New Roman" w:cs="Times New Roman"/>
          <w:bCs/>
          <w:i/>
          <w:sz w:val="24"/>
          <w:szCs w:val="24"/>
        </w:rPr>
        <w:t>LNG</w:t>
      </w:r>
      <w:r w:rsidRPr="00FB58B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 xml:space="preserve"> σε σύντομο χρονικό διάστημα, με αποτέλεσμα η ισχύς τους σε τέτοιου είδους καταστάσεις να είναι τεράστια»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="00080071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</w:p>
    <w:p w:rsidR="00FB58B8" w:rsidRPr="00FB58B8" w:rsidRDefault="00FB58B8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F96905" w:rsidRPr="00FB58B8" w:rsidRDefault="00080071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Ο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proofErr w:type="gram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Pett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επικεφαλής αναλυτής της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</w:rPr>
        <w:t>Uniper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,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πιστεύει ότι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="00FB58B8" w:rsidRPr="00FB58B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 xml:space="preserve">«η ανατολική ακτή των ΗΠΑ συνιστά φυσικό προμηθευτής </w:t>
      </w:r>
      <w:r w:rsidR="00FB58B8" w:rsidRPr="00FB58B8">
        <w:rPr>
          <w:rFonts w:ascii="Times New Roman" w:eastAsia="Times New Roman" w:hAnsi="Times New Roman" w:cs="Times New Roman"/>
          <w:bCs/>
          <w:i/>
          <w:sz w:val="24"/>
          <w:szCs w:val="24"/>
        </w:rPr>
        <w:t>LNG</w:t>
      </w:r>
      <w:r w:rsidR="00FB58B8" w:rsidRPr="00FB58B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 xml:space="preserve"> για την Ευρώπη»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proofErr w:type="gramEnd"/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Ο </w:t>
      </w:r>
      <w:proofErr w:type="spellStart"/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</w:rPr>
        <w:t>Pett</w:t>
      </w:r>
      <w:proofErr w:type="spellEnd"/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αναμένει ότι το 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</w:rPr>
        <w:t>LNG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από τις ΗΠΑ θα συνεχίσει να αντιπροσωπεύει μεγάλο μερίδιο των γερμανικών εισαγωγών 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</w:rPr>
        <w:t>LNG</w:t>
      </w:r>
      <w:r w:rsidR="00FB58B8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, καθώς παρατηρείται τάση ισχυρής αύξησης των εν λόγω αμερικανικών εξαγωγών.</w:t>
      </w:r>
    </w:p>
    <w:p w:rsidR="00C3150C" w:rsidRDefault="00C3150C" w:rsidP="005D2EC1">
      <w:pPr>
        <w:ind w:left="-360" w:right="-243"/>
        <w:jc w:val="both"/>
        <w:rPr>
          <w:rFonts w:ascii="Times New Roman" w:eastAsia="Times New Roman" w:hAnsi="Times New Roman" w:cs="Times New Roman"/>
          <w:bCs/>
          <w:lang w:val="el-GR"/>
        </w:rPr>
      </w:pPr>
    </w:p>
    <w:p w:rsidR="00FB58B8" w:rsidRPr="00A90E39" w:rsidRDefault="00FB58B8" w:rsidP="00FB58B8">
      <w:pPr>
        <w:ind w:left="-360" w:right="-243"/>
        <w:jc w:val="center"/>
        <w:rPr>
          <w:rFonts w:ascii="Times New Roman" w:eastAsia="Times New Roman" w:hAnsi="Times New Roman" w:cs="Times New Roman"/>
          <w:b/>
          <w:bCs/>
          <w:lang w:val="el-GR"/>
        </w:rPr>
      </w:pPr>
      <w:r>
        <w:rPr>
          <w:rFonts w:ascii="Times New Roman" w:eastAsia="Times New Roman" w:hAnsi="Times New Roman" w:cs="Times New Roman"/>
          <w:b/>
          <w:bCs/>
          <w:lang w:val="el-GR"/>
        </w:rPr>
        <w:t xml:space="preserve">Εισαγωγές φυσικού αερίου στη Γερμανία το 2024 (σε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GWh</w:t>
      </w:r>
      <w:proofErr w:type="spellEnd"/>
      <w:r w:rsidRPr="00A90E39">
        <w:rPr>
          <w:rFonts w:ascii="Times New Roman" w:eastAsia="Times New Roman" w:hAnsi="Times New Roman" w:cs="Times New Roman"/>
          <w:b/>
          <w:bCs/>
          <w:lang w:val="el-GR"/>
        </w:rPr>
        <w:t>)</w:t>
      </w:r>
    </w:p>
    <w:p w:rsidR="00FB58B8" w:rsidRDefault="002D118B" w:rsidP="00FB58B8">
      <w:pPr>
        <w:ind w:left="-360" w:right="-243"/>
        <w:jc w:val="both"/>
        <w:rPr>
          <w:rFonts w:ascii="Times New Roman" w:eastAsia="Times New Roman" w:hAnsi="Times New Roman" w:cs="Times New Roman"/>
          <w:bCs/>
          <w:lang w:val="el-GR"/>
        </w:rPr>
      </w:pPr>
      <w:r>
        <w:rPr>
          <w:rFonts w:ascii="Times New Roman" w:eastAsia="Times New Roman" w:hAnsi="Times New Roman" w:cs="Times New Roman"/>
          <w:bCs/>
          <w:noProof/>
          <w:lang w:val="el-GR" w:eastAsia="el-GR"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B58B8" w:rsidRDefault="00FB58B8" w:rsidP="00FB58B8">
      <w:pPr>
        <w:ind w:left="-360" w:right="-243"/>
        <w:jc w:val="both"/>
        <w:rPr>
          <w:rFonts w:ascii="Times New Roman" w:eastAsia="Times New Roman" w:hAnsi="Times New Roman" w:cs="Times New Roman"/>
          <w:bCs/>
          <w:lang w:val="el-GR"/>
        </w:rPr>
      </w:pPr>
    </w:p>
    <w:p w:rsidR="00FB58B8" w:rsidRPr="007D0EB1" w:rsidRDefault="00FB58B8" w:rsidP="00FB58B8">
      <w:pPr>
        <w:ind w:left="-360" w:right="-243"/>
        <w:jc w:val="both"/>
        <w:rPr>
          <w:rFonts w:ascii="Times New Roman" w:eastAsia="Times New Roman" w:hAnsi="Times New Roman" w:cs="Times New Roman"/>
          <w:bCs/>
          <w:lang w:val="de-DE"/>
        </w:rPr>
      </w:pPr>
      <w:r>
        <w:rPr>
          <w:rFonts w:ascii="Times New Roman" w:eastAsia="Times New Roman" w:hAnsi="Times New Roman" w:cs="Times New Roman"/>
          <w:bCs/>
          <w:lang w:val="el-GR"/>
        </w:rPr>
        <w:t>Πηγή</w:t>
      </w:r>
      <w:r w:rsidRPr="007D0EB1">
        <w:rPr>
          <w:rFonts w:ascii="Times New Roman" w:eastAsia="Times New Roman" w:hAnsi="Times New Roman" w:cs="Times New Roman"/>
          <w:bCs/>
          <w:lang w:val="de-DE"/>
        </w:rPr>
        <w:t>: Bundesnetzagentur</w:t>
      </w:r>
      <w:r w:rsidR="007D0EB1" w:rsidRPr="007D0EB1">
        <w:rPr>
          <w:rFonts w:ascii="Times New Roman" w:eastAsia="Times New Roman" w:hAnsi="Times New Roman" w:cs="Times New Roman"/>
          <w:bCs/>
          <w:lang w:val="de-DE"/>
        </w:rPr>
        <w:t xml:space="preserve">, </w:t>
      </w:r>
      <w:hyperlink r:id="rId15" w:history="1">
        <w:r w:rsidR="007D0EB1" w:rsidRPr="0032042D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de-DE"/>
          </w:rPr>
          <w:t>https://www.bundesnetzagentur.de/DE/Gasversorgung/a_Gasversorgung_2024/start.html</w:t>
        </w:r>
      </w:hyperlink>
      <w:r w:rsidR="007D0EB1" w:rsidRPr="007D0EB1">
        <w:rPr>
          <w:rFonts w:ascii="Times New Roman" w:eastAsia="Times New Roman" w:hAnsi="Times New Roman" w:cs="Times New Roman"/>
          <w:bCs/>
          <w:sz w:val="20"/>
          <w:szCs w:val="20"/>
          <w:lang w:val="de-DE"/>
        </w:rPr>
        <w:t xml:space="preserve"> </w:t>
      </w:r>
    </w:p>
    <w:p w:rsidR="00FB58B8" w:rsidRPr="007D0EB1" w:rsidRDefault="00FB58B8" w:rsidP="00FB58B8">
      <w:pPr>
        <w:ind w:left="-360" w:right="-243"/>
        <w:jc w:val="both"/>
        <w:rPr>
          <w:rFonts w:ascii="Times New Roman" w:eastAsia="Times New Roman" w:hAnsi="Times New Roman" w:cs="Times New Roman"/>
          <w:bCs/>
          <w:lang w:val="de-DE"/>
        </w:rPr>
      </w:pPr>
    </w:p>
    <w:p w:rsidR="00C3150C" w:rsidRPr="00FB58B8" w:rsidRDefault="00C3150C" w:rsidP="00C3150C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Το 2024 η Γερμανία εξήγαγε 89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φυσικού αερίου, σημειώνοντας σημαντική μείωση συγκριτικά με τις 187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του προηγούμενου έτους. Οι σημαντικότεροι αγοραστές ήταν η Ολλανδία (34%), η Τσεχία (33%) και η Αυστρία (14%). Οι εγχώριες εγκαταστάσεις παρήγαγαν 36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φυσικού αερίου το 2024 (2023: 37 </w:t>
      </w:r>
      <w:proofErr w:type="spellStart"/>
      <w:r w:rsidR="00590820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TWh</w:t>
      </w:r>
      <w:proofErr w:type="spellEnd"/>
      <w:r w:rsidR="00590820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) – η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Γερμανία </w:t>
      </w:r>
      <w:r w:rsidR="00590820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διαθέτει τη δική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της μικρή ποσότητα κοιτασμάτων παραγωγής </w:t>
      </w:r>
      <w:r w:rsidR="00590820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φ/α, ενώ το δίκτυο τροφοδοτείται με αέριο και 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από άλλες διεργασίες, </w:t>
      </w:r>
      <w:r w:rsidR="00590820"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όπως η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παραγωγή βιοαερίου.</w:t>
      </w:r>
    </w:p>
    <w:p w:rsidR="00A90E39" w:rsidRPr="00FB58B8" w:rsidRDefault="00A90E39" w:rsidP="00C3150C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90E39" w:rsidRDefault="00A90E39" w:rsidP="00C3150C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Σε </w:t>
      </w:r>
      <w:proofErr w:type="spellStart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ό,τι</w:t>
      </w:r>
      <w:proofErr w:type="spellEnd"/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αφορά την αποθηκευτική πληρότητα, το 2024, εκπληρώθηκαν οι νομικές απαιτήσεις που προβλέπουν επίπεδο πληρότητας 85% έως τις 01.10 και 95% έως τις 01.11. Αυτήν τη στιγμή, οι εγκαταστάσεις αποθήκευσης φ/α είναι γεμάτες κατά 77% (έναντι 91% την </w:t>
      </w:r>
      <w:r w:rsid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αντίστοιχη περυσινή περίοδο</w:t>
      </w:r>
      <w:r w:rsidRPr="00FB58B8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).</w:t>
      </w:r>
    </w:p>
    <w:p w:rsidR="00FB58B8" w:rsidRPr="00FB58B8" w:rsidRDefault="00FB58B8" w:rsidP="00C3150C">
      <w:pPr>
        <w:ind w:left="-360" w:right="-2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420B8E" w:rsidRPr="00393D06" w:rsidRDefault="00420B8E" w:rsidP="00C50CA3">
      <w:pPr>
        <w:ind w:left="-360" w:right="-243"/>
        <w:jc w:val="both"/>
        <w:rPr>
          <w:rFonts w:ascii="Times New Roman" w:eastAsia="Times New Roman" w:hAnsi="Times New Roman" w:cs="Times New Roman"/>
          <w:bCs/>
          <w:sz w:val="23"/>
          <w:szCs w:val="23"/>
          <w:lang w:val="el-GR"/>
        </w:rPr>
      </w:pPr>
    </w:p>
    <w:p w:rsidR="003964C8" w:rsidRPr="00FB58B8" w:rsidRDefault="009B6405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393D06">
        <w:rPr>
          <w:rFonts w:ascii="Times New Roman" w:hAnsi="Times New Roman" w:cs="Times New Roman"/>
          <w:bCs/>
          <w:sz w:val="23"/>
          <w:szCs w:val="23"/>
          <w:lang w:val="el-GR"/>
        </w:rPr>
        <w:t xml:space="preserve">                                           </w:t>
      </w:r>
      <w:r w:rsidR="00393D06" w:rsidRPr="00393D06">
        <w:rPr>
          <w:rFonts w:ascii="Times New Roman" w:hAnsi="Times New Roman" w:cs="Times New Roman"/>
          <w:bCs/>
          <w:sz w:val="23"/>
          <w:szCs w:val="23"/>
          <w:lang w:val="el-GR"/>
        </w:rPr>
        <w:t xml:space="preserve">    </w:t>
      </w:r>
      <w:r w:rsidR="00587911">
        <w:rPr>
          <w:rFonts w:ascii="Times New Roman" w:hAnsi="Times New Roman" w:cs="Times New Roman"/>
          <w:bCs/>
          <w:sz w:val="23"/>
          <w:szCs w:val="23"/>
          <w:lang w:val="el-GR"/>
        </w:rPr>
        <w:t xml:space="preserve">  </w:t>
      </w:r>
      <w:r w:rsidR="00FB58B8">
        <w:rPr>
          <w:rFonts w:ascii="Times New Roman" w:hAnsi="Times New Roman" w:cs="Times New Roman"/>
          <w:bCs/>
          <w:sz w:val="23"/>
          <w:szCs w:val="23"/>
          <w:lang w:val="el-GR"/>
        </w:rPr>
        <w:t xml:space="preserve">      </w:t>
      </w:r>
      <w:r w:rsidR="00E30993">
        <w:rPr>
          <w:rFonts w:ascii="Times New Roman" w:hAnsi="Times New Roman" w:cs="Times New Roman"/>
          <w:bCs/>
          <w:sz w:val="23"/>
          <w:szCs w:val="23"/>
          <w:lang w:val="el-GR"/>
        </w:rPr>
        <w:t xml:space="preserve">  </w:t>
      </w:r>
      <w:r w:rsidR="003964C8" w:rsidRPr="00FB58B8">
        <w:rPr>
          <w:rFonts w:ascii="Times New Roman" w:hAnsi="Times New Roman" w:cs="Times New Roman"/>
          <w:bCs/>
          <w:sz w:val="24"/>
          <w:szCs w:val="24"/>
          <w:lang w:val="el-GR"/>
        </w:rPr>
        <w:t>Ο Προϊστάμενος</w:t>
      </w:r>
    </w:p>
    <w:p w:rsidR="0089645A" w:rsidRPr="00FB58B8" w:rsidRDefault="0089645A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A90E39" w:rsidRPr="00FB58B8" w:rsidRDefault="00A90E39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9B6405" w:rsidRPr="00FB58B8" w:rsidRDefault="009B6405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6C6C62" w:rsidRPr="00FB58B8" w:rsidRDefault="009B6405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                                              </w:t>
      </w:r>
      <w:r w:rsidR="00F553D5"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   </w:t>
      </w:r>
      <w:r w:rsidR="00135386"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Θεόδωρος </w:t>
      </w:r>
      <w:proofErr w:type="spellStart"/>
      <w:r w:rsidR="00135386" w:rsidRPr="00FB58B8">
        <w:rPr>
          <w:rFonts w:ascii="Times New Roman" w:hAnsi="Times New Roman" w:cs="Times New Roman"/>
          <w:bCs/>
          <w:sz w:val="24"/>
          <w:szCs w:val="24"/>
          <w:lang w:val="el-GR"/>
        </w:rPr>
        <w:t>Ξυπολιάς</w:t>
      </w:r>
      <w:proofErr w:type="spellEnd"/>
    </w:p>
    <w:p w:rsidR="00841827" w:rsidRPr="00FB58B8" w:rsidRDefault="009B6405" w:rsidP="006C6C62">
      <w:pPr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                                                </w:t>
      </w:r>
      <w:r w:rsidR="00F553D5"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   </w:t>
      </w:r>
      <w:r w:rsidR="00135386"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Γεν. Σύμβουλος </w:t>
      </w:r>
      <w:r w:rsidR="0089645A" w:rsidRPr="00FB58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ΟΕΥ </w:t>
      </w:r>
      <w:r w:rsidR="00800F49" w:rsidRPr="00FB58B8">
        <w:rPr>
          <w:rFonts w:ascii="Times New Roman" w:hAnsi="Times New Roman" w:cs="Times New Roman"/>
          <w:bCs/>
          <w:sz w:val="24"/>
          <w:szCs w:val="24"/>
        </w:rPr>
        <w:t>A</w:t>
      </w:r>
      <w:r w:rsidR="0089645A" w:rsidRPr="00FB58B8">
        <w:rPr>
          <w:rFonts w:ascii="Times New Roman" w:hAnsi="Times New Roman" w:cs="Times New Roman"/>
          <w:bCs/>
          <w:sz w:val="24"/>
          <w:szCs w:val="24"/>
          <w:lang w:val="el-GR"/>
        </w:rPr>
        <w:t>΄</w:t>
      </w:r>
    </w:p>
    <w:sectPr w:rsidR="00841827" w:rsidRPr="00FB58B8" w:rsidSect="0089645A">
      <w:footerReference w:type="default" r:id="rId16"/>
      <w:pgSz w:w="11907" w:h="16839" w:code="9"/>
      <w:pgMar w:top="851" w:right="1440" w:bottom="851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71" w:rsidRDefault="00080071" w:rsidP="00A61DD3">
      <w:r>
        <w:separator/>
      </w:r>
    </w:p>
  </w:endnote>
  <w:endnote w:type="continuationSeparator" w:id="0">
    <w:p w:rsidR="00080071" w:rsidRDefault="00080071" w:rsidP="00A6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770395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2031060533"/>
          <w:docPartObj>
            <w:docPartGallery w:val="Page Numbers (Top of Page)"/>
            <w:docPartUnique/>
          </w:docPartObj>
        </w:sdtPr>
        <w:sdtEndPr/>
        <w:sdtContent>
          <w:p w:rsidR="00080071" w:rsidRDefault="00080071" w:rsidP="00C2171F">
            <w:pPr>
              <w:pStyle w:val="Footer"/>
              <w:tabs>
                <w:tab w:val="center" w:pos="4513"/>
                <w:tab w:val="left" w:pos="6170"/>
              </w:tabs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:rsidR="00080071" w:rsidRPr="007F4819" w:rsidRDefault="00080071" w:rsidP="00A61DD3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Σελ.</w: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B5728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481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από</w: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B572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7F48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71" w:rsidRDefault="00080071" w:rsidP="00A61DD3">
      <w:r>
        <w:separator/>
      </w:r>
    </w:p>
  </w:footnote>
  <w:footnote w:type="continuationSeparator" w:id="0">
    <w:p w:rsidR="00080071" w:rsidRDefault="00080071" w:rsidP="00A6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5C"/>
    <w:multiLevelType w:val="hybridMultilevel"/>
    <w:tmpl w:val="E3D87D7C"/>
    <w:lvl w:ilvl="0" w:tplc="11F089E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F1122AA"/>
    <w:multiLevelType w:val="hybridMultilevel"/>
    <w:tmpl w:val="52E6D920"/>
    <w:lvl w:ilvl="0" w:tplc="AE14CA7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09775B6"/>
    <w:multiLevelType w:val="hybridMultilevel"/>
    <w:tmpl w:val="6C0A3C82"/>
    <w:lvl w:ilvl="0" w:tplc="03A06858">
      <w:start w:val="1"/>
      <w:numFmt w:val="bullet"/>
      <w:lvlText w:val="-"/>
      <w:lvlJc w:val="left"/>
      <w:pPr>
        <w:ind w:left="9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>
    <w:nsid w:val="20C96FDC"/>
    <w:multiLevelType w:val="hybridMultilevel"/>
    <w:tmpl w:val="08D8BAC6"/>
    <w:lvl w:ilvl="0" w:tplc="58424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10" w:hanging="360"/>
      </w:pPr>
    </w:lvl>
    <w:lvl w:ilvl="2" w:tplc="0408001B" w:tentative="1">
      <w:start w:val="1"/>
      <w:numFmt w:val="lowerRoman"/>
      <w:lvlText w:val="%3."/>
      <w:lvlJc w:val="right"/>
      <w:pPr>
        <w:ind w:left="1530" w:hanging="180"/>
      </w:pPr>
    </w:lvl>
    <w:lvl w:ilvl="3" w:tplc="0408000F" w:tentative="1">
      <w:start w:val="1"/>
      <w:numFmt w:val="decimal"/>
      <w:lvlText w:val="%4."/>
      <w:lvlJc w:val="left"/>
      <w:pPr>
        <w:ind w:left="2250" w:hanging="360"/>
      </w:pPr>
    </w:lvl>
    <w:lvl w:ilvl="4" w:tplc="04080019" w:tentative="1">
      <w:start w:val="1"/>
      <w:numFmt w:val="lowerLetter"/>
      <w:lvlText w:val="%5."/>
      <w:lvlJc w:val="left"/>
      <w:pPr>
        <w:ind w:left="2970" w:hanging="360"/>
      </w:pPr>
    </w:lvl>
    <w:lvl w:ilvl="5" w:tplc="0408001B" w:tentative="1">
      <w:start w:val="1"/>
      <w:numFmt w:val="lowerRoman"/>
      <w:lvlText w:val="%6."/>
      <w:lvlJc w:val="right"/>
      <w:pPr>
        <w:ind w:left="3690" w:hanging="180"/>
      </w:pPr>
    </w:lvl>
    <w:lvl w:ilvl="6" w:tplc="0408000F" w:tentative="1">
      <w:start w:val="1"/>
      <w:numFmt w:val="decimal"/>
      <w:lvlText w:val="%7."/>
      <w:lvlJc w:val="left"/>
      <w:pPr>
        <w:ind w:left="4410" w:hanging="360"/>
      </w:pPr>
    </w:lvl>
    <w:lvl w:ilvl="7" w:tplc="04080019" w:tentative="1">
      <w:start w:val="1"/>
      <w:numFmt w:val="lowerLetter"/>
      <w:lvlText w:val="%8."/>
      <w:lvlJc w:val="left"/>
      <w:pPr>
        <w:ind w:left="5130" w:hanging="360"/>
      </w:pPr>
    </w:lvl>
    <w:lvl w:ilvl="8" w:tplc="0408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24DA086D"/>
    <w:multiLevelType w:val="hybridMultilevel"/>
    <w:tmpl w:val="30AEFB3E"/>
    <w:lvl w:ilvl="0" w:tplc="C3CC065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9498F"/>
    <w:multiLevelType w:val="hybridMultilevel"/>
    <w:tmpl w:val="F75C3A4E"/>
    <w:lvl w:ilvl="0" w:tplc="E2882D22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4A6E204F"/>
    <w:multiLevelType w:val="hybridMultilevel"/>
    <w:tmpl w:val="BE1A9B52"/>
    <w:lvl w:ilvl="0" w:tplc="FA66A7F4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B012932"/>
    <w:multiLevelType w:val="hybridMultilevel"/>
    <w:tmpl w:val="7278DD30"/>
    <w:lvl w:ilvl="0" w:tplc="2B14F41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3BE41AE"/>
    <w:multiLevelType w:val="hybridMultilevel"/>
    <w:tmpl w:val="F8F80E88"/>
    <w:lvl w:ilvl="0" w:tplc="9A66EBE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E330EB"/>
    <w:multiLevelType w:val="hybridMultilevel"/>
    <w:tmpl w:val="EB469224"/>
    <w:lvl w:ilvl="0" w:tplc="C0A2A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B0932"/>
    <w:multiLevelType w:val="hybridMultilevel"/>
    <w:tmpl w:val="1806FD4C"/>
    <w:lvl w:ilvl="0" w:tplc="854AF9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65B5B72"/>
    <w:multiLevelType w:val="hybridMultilevel"/>
    <w:tmpl w:val="E1FAE2DE"/>
    <w:lvl w:ilvl="0" w:tplc="9A66EBE8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alampos Papadopoulos">
    <w15:presenceInfo w15:providerId="Windows Live" w15:userId="cb6c797797a29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991"/>
    <w:rsid w:val="00000EA8"/>
    <w:rsid w:val="000015F8"/>
    <w:rsid w:val="0000170B"/>
    <w:rsid w:val="000045BD"/>
    <w:rsid w:val="000053AD"/>
    <w:rsid w:val="0000541A"/>
    <w:rsid w:val="00005FAA"/>
    <w:rsid w:val="00007437"/>
    <w:rsid w:val="00010107"/>
    <w:rsid w:val="000122E5"/>
    <w:rsid w:val="00012402"/>
    <w:rsid w:val="0001284E"/>
    <w:rsid w:val="00014024"/>
    <w:rsid w:val="000141D7"/>
    <w:rsid w:val="00015BD2"/>
    <w:rsid w:val="00015CDE"/>
    <w:rsid w:val="00015E60"/>
    <w:rsid w:val="00015F82"/>
    <w:rsid w:val="00016A64"/>
    <w:rsid w:val="0002040D"/>
    <w:rsid w:val="00020AAD"/>
    <w:rsid w:val="00020E84"/>
    <w:rsid w:val="00022115"/>
    <w:rsid w:val="00022B5E"/>
    <w:rsid w:val="00022F34"/>
    <w:rsid w:val="0002413D"/>
    <w:rsid w:val="00024C97"/>
    <w:rsid w:val="00024EFB"/>
    <w:rsid w:val="000256F9"/>
    <w:rsid w:val="000258B0"/>
    <w:rsid w:val="0003143B"/>
    <w:rsid w:val="00031BC9"/>
    <w:rsid w:val="00033988"/>
    <w:rsid w:val="00035083"/>
    <w:rsid w:val="0003691F"/>
    <w:rsid w:val="00042826"/>
    <w:rsid w:val="00042AC8"/>
    <w:rsid w:val="00045D2E"/>
    <w:rsid w:val="00046463"/>
    <w:rsid w:val="0005118C"/>
    <w:rsid w:val="00053915"/>
    <w:rsid w:val="00055F64"/>
    <w:rsid w:val="00056561"/>
    <w:rsid w:val="0006707C"/>
    <w:rsid w:val="00067C8D"/>
    <w:rsid w:val="00067D8D"/>
    <w:rsid w:val="00067F14"/>
    <w:rsid w:val="000727DF"/>
    <w:rsid w:val="00074D5F"/>
    <w:rsid w:val="000771CE"/>
    <w:rsid w:val="000775D7"/>
    <w:rsid w:val="00077AD6"/>
    <w:rsid w:val="00080071"/>
    <w:rsid w:val="00080124"/>
    <w:rsid w:val="0008309D"/>
    <w:rsid w:val="000849BB"/>
    <w:rsid w:val="00086810"/>
    <w:rsid w:val="0009076B"/>
    <w:rsid w:val="00092998"/>
    <w:rsid w:val="00093263"/>
    <w:rsid w:val="00093878"/>
    <w:rsid w:val="00093B81"/>
    <w:rsid w:val="00095FAF"/>
    <w:rsid w:val="000967B6"/>
    <w:rsid w:val="000971A3"/>
    <w:rsid w:val="000A09D3"/>
    <w:rsid w:val="000A14FA"/>
    <w:rsid w:val="000A2216"/>
    <w:rsid w:val="000A363B"/>
    <w:rsid w:val="000A5163"/>
    <w:rsid w:val="000A5EEB"/>
    <w:rsid w:val="000A6057"/>
    <w:rsid w:val="000A619E"/>
    <w:rsid w:val="000A78F7"/>
    <w:rsid w:val="000B006A"/>
    <w:rsid w:val="000B01C9"/>
    <w:rsid w:val="000B08BA"/>
    <w:rsid w:val="000B1C1A"/>
    <w:rsid w:val="000B30CE"/>
    <w:rsid w:val="000B3A78"/>
    <w:rsid w:val="000B3AD0"/>
    <w:rsid w:val="000B5596"/>
    <w:rsid w:val="000B5728"/>
    <w:rsid w:val="000C12D5"/>
    <w:rsid w:val="000C1A49"/>
    <w:rsid w:val="000C1AE9"/>
    <w:rsid w:val="000C22B5"/>
    <w:rsid w:val="000C27A8"/>
    <w:rsid w:val="000C30BA"/>
    <w:rsid w:val="000C3772"/>
    <w:rsid w:val="000C4E1E"/>
    <w:rsid w:val="000C59A9"/>
    <w:rsid w:val="000D0A33"/>
    <w:rsid w:val="000D31FE"/>
    <w:rsid w:val="000D72B9"/>
    <w:rsid w:val="000E09C0"/>
    <w:rsid w:val="000E1310"/>
    <w:rsid w:val="000E1A72"/>
    <w:rsid w:val="000E2B4D"/>
    <w:rsid w:val="000E51A4"/>
    <w:rsid w:val="000E5EFE"/>
    <w:rsid w:val="000E6F6D"/>
    <w:rsid w:val="000E7E7E"/>
    <w:rsid w:val="000F0522"/>
    <w:rsid w:val="000F28A3"/>
    <w:rsid w:val="000F2E1F"/>
    <w:rsid w:val="000F2F5F"/>
    <w:rsid w:val="000F3144"/>
    <w:rsid w:val="000F44A4"/>
    <w:rsid w:val="000F4FF8"/>
    <w:rsid w:val="000F5578"/>
    <w:rsid w:val="000F6378"/>
    <w:rsid w:val="00102905"/>
    <w:rsid w:val="00102921"/>
    <w:rsid w:val="0010409A"/>
    <w:rsid w:val="00104DE0"/>
    <w:rsid w:val="0010601D"/>
    <w:rsid w:val="00106608"/>
    <w:rsid w:val="001129C0"/>
    <w:rsid w:val="00113041"/>
    <w:rsid w:val="00113A9F"/>
    <w:rsid w:val="0011748E"/>
    <w:rsid w:val="00122853"/>
    <w:rsid w:val="00123532"/>
    <w:rsid w:val="001236FB"/>
    <w:rsid w:val="00124F23"/>
    <w:rsid w:val="00124F42"/>
    <w:rsid w:val="00125744"/>
    <w:rsid w:val="00126205"/>
    <w:rsid w:val="001264C0"/>
    <w:rsid w:val="00126877"/>
    <w:rsid w:val="00131F57"/>
    <w:rsid w:val="001322D9"/>
    <w:rsid w:val="00132A87"/>
    <w:rsid w:val="001330C7"/>
    <w:rsid w:val="00133BBC"/>
    <w:rsid w:val="00133F3F"/>
    <w:rsid w:val="00134270"/>
    <w:rsid w:val="0013458E"/>
    <w:rsid w:val="00135386"/>
    <w:rsid w:val="00135798"/>
    <w:rsid w:val="001367CB"/>
    <w:rsid w:val="00140131"/>
    <w:rsid w:val="00140AC4"/>
    <w:rsid w:val="00141058"/>
    <w:rsid w:val="0014265A"/>
    <w:rsid w:val="00143563"/>
    <w:rsid w:val="00144FCC"/>
    <w:rsid w:val="00145357"/>
    <w:rsid w:val="00145B72"/>
    <w:rsid w:val="00146127"/>
    <w:rsid w:val="00147BA0"/>
    <w:rsid w:val="0015638F"/>
    <w:rsid w:val="001566E9"/>
    <w:rsid w:val="00157AD5"/>
    <w:rsid w:val="001628F1"/>
    <w:rsid w:val="00162A50"/>
    <w:rsid w:val="0016386C"/>
    <w:rsid w:val="001735CA"/>
    <w:rsid w:val="00174A07"/>
    <w:rsid w:val="00174D6F"/>
    <w:rsid w:val="001753B9"/>
    <w:rsid w:val="001762F4"/>
    <w:rsid w:val="001774EB"/>
    <w:rsid w:val="0018148A"/>
    <w:rsid w:val="001825C0"/>
    <w:rsid w:val="00183422"/>
    <w:rsid w:val="00185B9C"/>
    <w:rsid w:val="00187087"/>
    <w:rsid w:val="001905C6"/>
    <w:rsid w:val="00191085"/>
    <w:rsid w:val="0019122D"/>
    <w:rsid w:val="00191DCF"/>
    <w:rsid w:val="00191F14"/>
    <w:rsid w:val="00193B90"/>
    <w:rsid w:val="001944F3"/>
    <w:rsid w:val="0019546A"/>
    <w:rsid w:val="00195A3C"/>
    <w:rsid w:val="00195FAC"/>
    <w:rsid w:val="00196247"/>
    <w:rsid w:val="0019682C"/>
    <w:rsid w:val="001A1770"/>
    <w:rsid w:val="001A2811"/>
    <w:rsid w:val="001A483E"/>
    <w:rsid w:val="001A495C"/>
    <w:rsid w:val="001A4E62"/>
    <w:rsid w:val="001A5BE2"/>
    <w:rsid w:val="001B048E"/>
    <w:rsid w:val="001B2116"/>
    <w:rsid w:val="001B262F"/>
    <w:rsid w:val="001B2E22"/>
    <w:rsid w:val="001B3056"/>
    <w:rsid w:val="001B594D"/>
    <w:rsid w:val="001C069A"/>
    <w:rsid w:val="001C446F"/>
    <w:rsid w:val="001C4BAF"/>
    <w:rsid w:val="001C4F3D"/>
    <w:rsid w:val="001C6245"/>
    <w:rsid w:val="001C697B"/>
    <w:rsid w:val="001C6FC1"/>
    <w:rsid w:val="001C70F1"/>
    <w:rsid w:val="001C7AC1"/>
    <w:rsid w:val="001D07EB"/>
    <w:rsid w:val="001D291B"/>
    <w:rsid w:val="001D3957"/>
    <w:rsid w:val="001D3A6B"/>
    <w:rsid w:val="001D4CAD"/>
    <w:rsid w:val="001D60AC"/>
    <w:rsid w:val="001D627B"/>
    <w:rsid w:val="001D710E"/>
    <w:rsid w:val="001E05D6"/>
    <w:rsid w:val="001E6BE0"/>
    <w:rsid w:val="001F0C45"/>
    <w:rsid w:val="001F2B9B"/>
    <w:rsid w:val="001F4947"/>
    <w:rsid w:val="001F64F3"/>
    <w:rsid w:val="002073DF"/>
    <w:rsid w:val="00207522"/>
    <w:rsid w:val="0021006D"/>
    <w:rsid w:val="0021087B"/>
    <w:rsid w:val="00210ABF"/>
    <w:rsid w:val="00212C1B"/>
    <w:rsid w:val="00212DCC"/>
    <w:rsid w:val="0021414E"/>
    <w:rsid w:val="00215134"/>
    <w:rsid w:val="002154F4"/>
    <w:rsid w:val="00215D0C"/>
    <w:rsid w:val="00217786"/>
    <w:rsid w:val="00222D90"/>
    <w:rsid w:val="002233A5"/>
    <w:rsid w:val="002243AA"/>
    <w:rsid w:val="0022614B"/>
    <w:rsid w:val="0022759E"/>
    <w:rsid w:val="00227F14"/>
    <w:rsid w:val="0023045D"/>
    <w:rsid w:val="002334DD"/>
    <w:rsid w:val="00233776"/>
    <w:rsid w:val="00237C38"/>
    <w:rsid w:val="00240C9B"/>
    <w:rsid w:val="00241342"/>
    <w:rsid w:val="00241EFF"/>
    <w:rsid w:val="00242BAA"/>
    <w:rsid w:val="002431E3"/>
    <w:rsid w:val="00244487"/>
    <w:rsid w:val="00244DC8"/>
    <w:rsid w:val="00247107"/>
    <w:rsid w:val="00251109"/>
    <w:rsid w:val="00253807"/>
    <w:rsid w:val="0025761A"/>
    <w:rsid w:val="00260311"/>
    <w:rsid w:val="00261490"/>
    <w:rsid w:val="002627D2"/>
    <w:rsid w:val="00262829"/>
    <w:rsid w:val="00262D14"/>
    <w:rsid w:val="00262F43"/>
    <w:rsid w:val="002634BA"/>
    <w:rsid w:val="00263CE0"/>
    <w:rsid w:val="00264302"/>
    <w:rsid w:val="00264913"/>
    <w:rsid w:val="00265B5D"/>
    <w:rsid w:val="00266692"/>
    <w:rsid w:val="00267CD9"/>
    <w:rsid w:val="00272579"/>
    <w:rsid w:val="00273ED2"/>
    <w:rsid w:val="00273FC8"/>
    <w:rsid w:val="00276F7B"/>
    <w:rsid w:val="00280989"/>
    <w:rsid w:val="00285240"/>
    <w:rsid w:val="002858CA"/>
    <w:rsid w:val="002907A5"/>
    <w:rsid w:val="00290E3B"/>
    <w:rsid w:val="002917AA"/>
    <w:rsid w:val="002934BF"/>
    <w:rsid w:val="00293C78"/>
    <w:rsid w:val="0029418B"/>
    <w:rsid w:val="00294EA4"/>
    <w:rsid w:val="002958D2"/>
    <w:rsid w:val="002963BA"/>
    <w:rsid w:val="00297B8F"/>
    <w:rsid w:val="00297FAD"/>
    <w:rsid w:val="002A0940"/>
    <w:rsid w:val="002A1878"/>
    <w:rsid w:val="002A18D3"/>
    <w:rsid w:val="002A1A68"/>
    <w:rsid w:val="002A2407"/>
    <w:rsid w:val="002A286A"/>
    <w:rsid w:val="002A2AF8"/>
    <w:rsid w:val="002A340B"/>
    <w:rsid w:val="002A427A"/>
    <w:rsid w:val="002A43D7"/>
    <w:rsid w:val="002A5339"/>
    <w:rsid w:val="002A7020"/>
    <w:rsid w:val="002A7A19"/>
    <w:rsid w:val="002B3955"/>
    <w:rsid w:val="002B3FBB"/>
    <w:rsid w:val="002B5018"/>
    <w:rsid w:val="002B5441"/>
    <w:rsid w:val="002B6442"/>
    <w:rsid w:val="002B7178"/>
    <w:rsid w:val="002B7522"/>
    <w:rsid w:val="002B7D35"/>
    <w:rsid w:val="002C0A94"/>
    <w:rsid w:val="002C0A95"/>
    <w:rsid w:val="002C0F4C"/>
    <w:rsid w:val="002C1FDC"/>
    <w:rsid w:val="002C24DB"/>
    <w:rsid w:val="002C3B85"/>
    <w:rsid w:val="002C4B11"/>
    <w:rsid w:val="002C4C79"/>
    <w:rsid w:val="002C62C2"/>
    <w:rsid w:val="002C6F27"/>
    <w:rsid w:val="002D118B"/>
    <w:rsid w:val="002D13D1"/>
    <w:rsid w:val="002D24BA"/>
    <w:rsid w:val="002D3612"/>
    <w:rsid w:val="002D49BD"/>
    <w:rsid w:val="002D66DD"/>
    <w:rsid w:val="002E0A8F"/>
    <w:rsid w:val="002E0EA4"/>
    <w:rsid w:val="002E2B8A"/>
    <w:rsid w:val="002E603B"/>
    <w:rsid w:val="002E75EC"/>
    <w:rsid w:val="002F1128"/>
    <w:rsid w:val="002F1BE8"/>
    <w:rsid w:val="002F3314"/>
    <w:rsid w:val="002F37C3"/>
    <w:rsid w:val="002F50AB"/>
    <w:rsid w:val="002F5187"/>
    <w:rsid w:val="002F561D"/>
    <w:rsid w:val="0030333D"/>
    <w:rsid w:val="003042B0"/>
    <w:rsid w:val="00304B40"/>
    <w:rsid w:val="00304BA7"/>
    <w:rsid w:val="003059A3"/>
    <w:rsid w:val="00307645"/>
    <w:rsid w:val="0031010E"/>
    <w:rsid w:val="00310B62"/>
    <w:rsid w:val="00311310"/>
    <w:rsid w:val="00313E4F"/>
    <w:rsid w:val="00313EE6"/>
    <w:rsid w:val="00314567"/>
    <w:rsid w:val="00315387"/>
    <w:rsid w:val="0031578D"/>
    <w:rsid w:val="00315ACE"/>
    <w:rsid w:val="0031733F"/>
    <w:rsid w:val="003175EB"/>
    <w:rsid w:val="003211C5"/>
    <w:rsid w:val="00321885"/>
    <w:rsid w:val="0032279F"/>
    <w:rsid w:val="00322EE4"/>
    <w:rsid w:val="00324F67"/>
    <w:rsid w:val="00331697"/>
    <w:rsid w:val="0033241A"/>
    <w:rsid w:val="003328BF"/>
    <w:rsid w:val="00333017"/>
    <w:rsid w:val="003340ED"/>
    <w:rsid w:val="00334D4A"/>
    <w:rsid w:val="00335096"/>
    <w:rsid w:val="003369AC"/>
    <w:rsid w:val="00337A04"/>
    <w:rsid w:val="0034098A"/>
    <w:rsid w:val="003420D2"/>
    <w:rsid w:val="00345583"/>
    <w:rsid w:val="00345F84"/>
    <w:rsid w:val="0034642B"/>
    <w:rsid w:val="003529C8"/>
    <w:rsid w:val="003533E4"/>
    <w:rsid w:val="003540ED"/>
    <w:rsid w:val="003544E2"/>
    <w:rsid w:val="003563E4"/>
    <w:rsid w:val="00356473"/>
    <w:rsid w:val="003601BE"/>
    <w:rsid w:val="0036298E"/>
    <w:rsid w:val="00362E0C"/>
    <w:rsid w:val="0036305F"/>
    <w:rsid w:val="00363F7F"/>
    <w:rsid w:val="00364897"/>
    <w:rsid w:val="003657C6"/>
    <w:rsid w:val="003667A9"/>
    <w:rsid w:val="00366CB0"/>
    <w:rsid w:val="003674E5"/>
    <w:rsid w:val="003679C9"/>
    <w:rsid w:val="0037017C"/>
    <w:rsid w:val="00370B02"/>
    <w:rsid w:val="00371184"/>
    <w:rsid w:val="00373921"/>
    <w:rsid w:val="003750D1"/>
    <w:rsid w:val="00375C01"/>
    <w:rsid w:val="00380B1A"/>
    <w:rsid w:val="00381991"/>
    <w:rsid w:val="00381A8D"/>
    <w:rsid w:val="00382CF4"/>
    <w:rsid w:val="00384C0F"/>
    <w:rsid w:val="00384E99"/>
    <w:rsid w:val="00385AFF"/>
    <w:rsid w:val="00385F9E"/>
    <w:rsid w:val="00386AB8"/>
    <w:rsid w:val="00391976"/>
    <w:rsid w:val="00391CF8"/>
    <w:rsid w:val="00391E4F"/>
    <w:rsid w:val="00393D06"/>
    <w:rsid w:val="00393DA5"/>
    <w:rsid w:val="0039465F"/>
    <w:rsid w:val="003955D2"/>
    <w:rsid w:val="003964C8"/>
    <w:rsid w:val="00396A2D"/>
    <w:rsid w:val="00397434"/>
    <w:rsid w:val="0039773B"/>
    <w:rsid w:val="003A1B4F"/>
    <w:rsid w:val="003A3C52"/>
    <w:rsid w:val="003A41F0"/>
    <w:rsid w:val="003A4792"/>
    <w:rsid w:val="003A5354"/>
    <w:rsid w:val="003A5A7A"/>
    <w:rsid w:val="003A6814"/>
    <w:rsid w:val="003B15CD"/>
    <w:rsid w:val="003B266F"/>
    <w:rsid w:val="003B3420"/>
    <w:rsid w:val="003B3B29"/>
    <w:rsid w:val="003B5C58"/>
    <w:rsid w:val="003B625E"/>
    <w:rsid w:val="003B745A"/>
    <w:rsid w:val="003B7FA7"/>
    <w:rsid w:val="003C0D3B"/>
    <w:rsid w:val="003C1E3B"/>
    <w:rsid w:val="003C4E9F"/>
    <w:rsid w:val="003C596E"/>
    <w:rsid w:val="003C5A41"/>
    <w:rsid w:val="003C5F84"/>
    <w:rsid w:val="003C65DB"/>
    <w:rsid w:val="003D056E"/>
    <w:rsid w:val="003D14F4"/>
    <w:rsid w:val="003D152D"/>
    <w:rsid w:val="003D22AC"/>
    <w:rsid w:val="003D360D"/>
    <w:rsid w:val="003D41F4"/>
    <w:rsid w:val="003D4E98"/>
    <w:rsid w:val="003D5008"/>
    <w:rsid w:val="003D541C"/>
    <w:rsid w:val="003D5C30"/>
    <w:rsid w:val="003D650D"/>
    <w:rsid w:val="003E0B6B"/>
    <w:rsid w:val="003E16DE"/>
    <w:rsid w:val="003E56E4"/>
    <w:rsid w:val="003E651A"/>
    <w:rsid w:val="003E66DA"/>
    <w:rsid w:val="003E79B3"/>
    <w:rsid w:val="003F066E"/>
    <w:rsid w:val="003F0F9B"/>
    <w:rsid w:val="003F2EF3"/>
    <w:rsid w:val="003F4DEC"/>
    <w:rsid w:val="003F59A5"/>
    <w:rsid w:val="003F5DAD"/>
    <w:rsid w:val="003F5F41"/>
    <w:rsid w:val="003F6D20"/>
    <w:rsid w:val="003F7B9B"/>
    <w:rsid w:val="004004DD"/>
    <w:rsid w:val="00402412"/>
    <w:rsid w:val="00403951"/>
    <w:rsid w:val="004056F6"/>
    <w:rsid w:val="00406FD9"/>
    <w:rsid w:val="004074C3"/>
    <w:rsid w:val="00410BE6"/>
    <w:rsid w:val="00410F29"/>
    <w:rsid w:val="00411C5A"/>
    <w:rsid w:val="00413975"/>
    <w:rsid w:val="00413C62"/>
    <w:rsid w:val="0041436E"/>
    <w:rsid w:val="00415CF8"/>
    <w:rsid w:val="004163C7"/>
    <w:rsid w:val="00416ED6"/>
    <w:rsid w:val="00417ABD"/>
    <w:rsid w:val="00417FF3"/>
    <w:rsid w:val="00420B8E"/>
    <w:rsid w:val="00420E72"/>
    <w:rsid w:val="00421FFD"/>
    <w:rsid w:val="0042320D"/>
    <w:rsid w:val="004236CF"/>
    <w:rsid w:val="0042386C"/>
    <w:rsid w:val="004242D9"/>
    <w:rsid w:val="004251A4"/>
    <w:rsid w:val="0042767B"/>
    <w:rsid w:val="004317A6"/>
    <w:rsid w:val="0043207E"/>
    <w:rsid w:val="004371D4"/>
    <w:rsid w:val="00437563"/>
    <w:rsid w:val="00442DAF"/>
    <w:rsid w:val="0044464F"/>
    <w:rsid w:val="00444FEA"/>
    <w:rsid w:val="00444FF4"/>
    <w:rsid w:val="004458E0"/>
    <w:rsid w:val="00445DE1"/>
    <w:rsid w:val="00446CA1"/>
    <w:rsid w:val="00446EB7"/>
    <w:rsid w:val="004470A1"/>
    <w:rsid w:val="004524C1"/>
    <w:rsid w:val="00452B7D"/>
    <w:rsid w:val="004533C1"/>
    <w:rsid w:val="004536CB"/>
    <w:rsid w:val="00456054"/>
    <w:rsid w:val="004561B1"/>
    <w:rsid w:val="00456886"/>
    <w:rsid w:val="004576D2"/>
    <w:rsid w:val="004605F5"/>
    <w:rsid w:val="00461BE1"/>
    <w:rsid w:val="00465EAE"/>
    <w:rsid w:val="00466773"/>
    <w:rsid w:val="00470F1D"/>
    <w:rsid w:val="00471931"/>
    <w:rsid w:val="0047240E"/>
    <w:rsid w:val="004752D4"/>
    <w:rsid w:val="00475A66"/>
    <w:rsid w:val="00475D27"/>
    <w:rsid w:val="00476423"/>
    <w:rsid w:val="00476D87"/>
    <w:rsid w:val="00481508"/>
    <w:rsid w:val="00483B6D"/>
    <w:rsid w:val="004854EF"/>
    <w:rsid w:val="00486198"/>
    <w:rsid w:val="00486CC3"/>
    <w:rsid w:val="00486D85"/>
    <w:rsid w:val="00487A3B"/>
    <w:rsid w:val="0049019E"/>
    <w:rsid w:val="00490C13"/>
    <w:rsid w:val="004915AB"/>
    <w:rsid w:val="00491E52"/>
    <w:rsid w:val="00493EC6"/>
    <w:rsid w:val="00496215"/>
    <w:rsid w:val="0049663C"/>
    <w:rsid w:val="00497FE2"/>
    <w:rsid w:val="004A0906"/>
    <w:rsid w:val="004A330F"/>
    <w:rsid w:val="004A4E78"/>
    <w:rsid w:val="004A603C"/>
    <w:rsid w:val="004A76A5"/>
    <w:rsid w:val="004B00B6"/>
    <w:rsid w:val="004B1D25"/>
    <w:rsid w:val="004B2294"/>
    <w:rsid w:val="004B24D5"/>
    <w:rsid w:val="004B2DC5"/>
    <w:rsid w:val="004B3DB9"/>
    <w:rsid w:val="004B723E"/>
    <w:rsid w:val="004B77B3"/>
    <w:rsid w:val="004C0D20"/>
    <w:rsid w:val="004C121F"/>
    <w:rsid w:val="004C16BF"/>
    <w:rsid w:val="004C33AC"/>
    <w:rsid w:val="004C350C"/>
    <w:rsid w:val="004C4136"/>
    <w:rsid w:val="004C6375"/>
    <w:rsid w:val="004C640A"/>
    <w:rsid w:val="004D0425"/>
    <w:rsid w:val="004D3547"/>
    <w:rsid w:val="004D3595"/>
    <w:rsid w:val="004D4043"/>
    <w:rsid w:val="004D4BE2"/>
    <w:rsid w:val="004D5A8A"/>
    <w:rsid w:val="004D6D59"/>
    <w:rsid w:val="004D750D"/>
    <w:rsid w:val="004E0D02"/>
    <w:rsid w:val="004E2E6D"/>
    <w:rsid w:val="004E5252"/>
    <w:rsid w:val="004E6739"/>
    <w:rsid w:val="004E6A16"/>
    <w:rsid w:val="004E7723"/>
    <w:rsid w:val="004E7ABC"/>
    <w:rsid w:val="004F0EEA"/>
    <w:rsid w:val="004F5741"/>
    <w:rsid w:val="004F694E"/>
    <w:rsid w:val="005002A5"/>
    <w:rsid w:val="00501584"/>
    <w:rsid w:val="005028FF"/>
    <w:rsid w:val="005034B0"/>
    <w:rsid w:val="005075E3"/>
    <w:rsid w:val="00513968"/>
    <w:rsid w:val="005150AA"/>
    <w:rsid w:val="00515AC0"/>
    <w:rsid w:val="00515F72"/>
    <w:rsid w:val="00517EF9"/>
    <w:rsid w:val="005221C6"/>
    <w:rsid w:val="00525117"/>
    <w:rsid w:val="00526596"/>
    <w:rsid w:val="00527636"/>
    <w:rsid w:val="00530909"/>
    <w:rsid w:val="00535019"/>
    <w:rsid w:val="00535DBB"/>
    <w:rsid w:val="005370E0"/>
    <w:rsid w:val="005401DD"/>
    <w:rsid w:val="00540C87"/>
    <w:rsid w:val="005470A8"/>
    <w:rsid w:val="005471B3"/>
    <w:rsid w:val="00550183"/>
    <w:rsid w:val="00550470"/>
    <w:rsid w:val="00550A6D"/>
    <w:rsid w:val="005528FC"/>
    <w:rsid w:val="00552CE0"/>
    <w:rsid w:val="00556289"/>
    <w:rsid w:val="0055676B"/>
    <w:rsid w:val="00561704"/>
    <w:rsid w:val="00562934"/>
    <w:rsid w:val="00564154"/>
    <w:rsid w:val="0056446A"/>
    <w:rsid w:val="00565558"/>
    <w:rsid w:val="00565B13"/>
    <w:rsid w:val="00566C09"/>
    <w:rsid w:val="00567DE2"/>
    <w:rsid w:val="005706A7"/>
    <w:rsid w:val="00571108"/>
    <w:rsid w:val="0057172B"/>
    <w:rsid w:val="00572721"/>
    <w:rsid w:val="00573225"/>
    <w:rsid w:val="005766D2"/>
    <w:rsid w:val="0057690D"/>
    <w:rsid w:val="00577824"/>
    <w:rsid w:val="00581FBD"/>
    <w:rsid w:val="005830A1"/>
    <w:rsid w:val="00583D28"/>
    <w:rsid w:val="00584E00"/>
    <w:rsid w:val="00584F2E"/>
    <w:rsid w:val="0058515A"/>
    <w:rsid w:val="005854AE"/>
    <w:rsid w:val="00587911"/>
    <w:rsid w:val="00587E46"/>
    <w:rsid w:val="00590372"/>
    <w:rsid w:val="00590820"/>
    <w:rsid w:val="005920B0"/>
    <w:rsid w:val="005920FC"/>
    <w:rsid w:val="00592C15"/>
    <w:rsid w:val="00594CC8"/>
    <w:rsid w:val="00595253"/>
    <w:rsid w:val="00597ED3"/>
    <w:rsid w:val="005A07C2"/>
    <w:rsid w:val="005A101C"/>
    <w:rsid w:val="005A24E8"/>
    <w:rsid w:val="005A308F"/>
    <w:rsid w:val="005A6D96"/>
    <w:rsid w:val="005A755C"/>
    <w:rsid w:val="005B1C4C"/>
    <w:rsid w:val="005B23DB"/>
    <w:rsid w:val="005B2693"/>
    <w:rsid w:val="005B3236"/>
    <w:rsid w:val="005B4F5E"/>
    <w:rsid w:val="005B5367"/>
    <w:rsid w:val="005B5FF7"/>
    <w:rsid w:val="005C150F"/>
    <w:rsid w:val="005C233E"/>
    <w:rsid w:val="005C455D"/>
    <w:rsid w:val="005C592D"/>
    <w:rsid w:val="005C6C36"/>
    <w:rsid w:val="005C7BC1"/>
    <w:rsid w:val="005D07BD"/>
    <w:rsid w:val="005D22D1"/>
    <w:rsid w:val="005D2569"/>
    <w:rsid w:val="005D2EC1"/>
    <w:rsid w:val="005D461D"/>
    <w:rsid w:val="005D68BC"/>
    <w:rsid w:val="005D7103"/>
    <w:rsid w:val="005D7A49"/>
    <w:rsid w:val="005D7AED"/>
    <w:rsid w:val="005D7FE8"/>
    <w:rsid w:val="005E00EE"/>
    <w:rsid w:val="005E07D9"/>
    <w:rsid w:val="005E232D"/>
    <w:rsid w:val="005E4463"/>
    <w:rsid w:val="005E48D1"/>
    <w:rsid w:val="005E73A6"/>
    <w:rsid w:val="005F0BEE"/>
    <w:rsid w:val="005F0D52"/>
    <w:rsid w:val="005F20A3"/>
    <w:rsid w:val="005F2451"/>
    <w:rsid w:val="005F3C83"/>
    <w:rsid w:val="005F519E"/>
    <w:rsid w:val="005F51FF"/>
    <w:rsid w:val="005F578B"/>
    <w:rsid w:val="005F578C"/>
    <w:rsid w:val="005F735F"/>
    <w:rsid w:val="00601A62"/>
    <w:rsid w:val="006045ED"/>
    <w:rsid w:val="0060468A"/>
    <w:rsid w:val="00604E00"/>
    <w:rsid w:val="00605890"/>
    <w:rsid w:val="00606AA9"/>
    <w:rsid w:val="00606AF4"/>
    <w:rsid w:val="006120CA"/>
    <w:rsid w:val="00612B5B"/>
    <w:rsid w:val="00613AFD"/>
    <w:rsid w:val="00614B71"/>
    <w:rsid w:val="00614F61"/>
    <w:rsid w:val="0061596A"/>
    <w:rsid w:val="0061631E"/>
    <w:rsid w:val="006163EC"/>
    <w:rsid w:val="006167B5"/>
    <w:rsid w:val="0062783B"/>
    <w:rsid w:val="00633DCC"/>
    <w:rsid w:val="0063453B"/>
    <w:rsid w:val="006358AF"/>
    <w:rsid w:val="00636730"/>
    <w:rsid w:val="00640D8A"/>
    <w:rsid w:val="00641719"/>
    <w:rsid w:val="00642E88"/>
    <w:rsid w:val="00645252"/>
    <w:rsid w:val="006461E4"/>
    <w:rsid w:val="00647AAE"/>
    <w:rsid w:val="0065131B"/>
    <w:rsid w:val="00654A3B"/>
    <w:rsid w:val="00655E2A"/>
    <w:rsid w:val="00656D8C"/>
    <w:rsid w:val="00657A77"/>
    <w:rsid w:val="00664641"/>
    <w:rsid w:val="00664A35"/>
    <w:rsid w:val="00666A86"/>
    <w:rsid w:val="00670F15"/>
    <w:rsid w:val="006717CD"/>
    <w:rsid w:val="00671FAE"/>
    <w:rsid w:val="006725B7"/>
    <w:rsid w:val="00672FBB"/>
    <w:rsid w:val="0067301F"/>
    <w:rsid w:val="00674405"/>
    <w:rsid w:val="00674F10"/>
    <w:rsid w:val="00675C80"/>
    <w:rsid w:val="00677521"/>
    <w:rsid w:val="00677D04"/>
    <w:rsid w:val="00687631"/>
    <w:rsid w:val="00693830"/>
    <w:rsid w:val="0069394A"/>
    <w:rsid w:val="00694E30"/>
    <w:rsid w:val="006962DE"/>
    <w:rsid w:val="006963F4"/>
    <w:rsid w:val="006967B7"/>
    <w:rsid w:val="006974E9"/>
    <w:rsid w:val="006975E7"/>
    <w:rsid w:val="00697C6F"/>
    <w:rsid w:val="006A04C8"/>
    <w:rsid w:val="006A08CF"/>
    <w:rsid w:val="006A1F7C"/>
    <w:rsid w:val="006A43AC"/>
    <w:rsid w:val="006A776D"/>
    <w:rsid w:val="006B03ED"/>
    <w:rsid w:val="006B20E5"/>
    <w:rsid w:val="006B2E36"/>
    <w:rsid w:val="006B5D48"/>
    <w:rsid w:val="006B5DAF"/>
    <w:rsid w:val="006B6849"/>
    <w:rsid w:val="006B6E76"/>
    <w:rsid w:val="006C271A"/>
    <w:rsid w:val="006C293B"/>
    <w:rsid w:val="006C5115"/>
    <w:rsid w:val="006C5359"/>
    <w:rsid w:val="006C611A"/>
    <w:rsid w:val="006C6467"/>
    <w:rsid w:val="006C6A3B"/>
    <w:rsid w:val="006C6C62"/>
    <w:rsid w:val="006D0B97"/>
    <w:rsid w:val="006D1CB8"/>
    <w:rsid w:val="006D2895"/>
    <w:rsid w:val="006D3D74"/>
    <w:rsid w:val="006D478E"/>
    <w:rsid w:val="006E31BB"/>
    <w:rsid w:val="006E3F37"/>
    <w:rsid w:val="006E4412"/>
    <w:rsid w:val="006E6666"/>
    <w:rsid w:val="006E7223"/>
    <w:rsid w:val="006E72B0"/>
    <w:rsid w:val="006E7746"/>
    <w:rsid w:val="006F0D85"/>
    <w:rsid w:val="006F1AE8"/>
    <w:rsid w:val="006F1CEE"/>
    <w:rsid w:val="006F206C"/>
    <w:rsid w:val="006F36E0"/>
    <w:rsid w:val="0070156A"/>
    <w:rsid w:val="0070385C"/>
    <w:rsid w:val="007040C6"/>
    <w:rsid w:val="00704F85"/>
    <w:rsid w:val="00705319"/>
    <w:rsid w:val="00705DB5"/>
    <w:rsid w:val="00711C80"/>
    <w:rsid w:val="007124D3"/>
    <w:rsid w:val="00712B98"/>
    <w:rsid w:val="00714A9E"/>
    <w:rsid w:val="0071543B"/>
    <w:rsid w:val="00716B85"/>
    <w:rsid w:val="00717641"/>
    <w:rsid w:val="00717D13"/>
    <w:rsid w:val="0072118B"/>
    <w:rsid w:val="007213B9"/>
    <w:rsid w:val="00722D30"/>
    <w:rsid w:val="00723C6F"/>
    <w:rsid w:val="007268D8"/>
    <w:rsid w:val="0073219A"/>
    <w:rsid w:val="007322F8"/>
    <w:rsid w:val="007323B5"/>
    <w:rsid w:val="00732A56"/>
    <w:rsid w:val="0073555B"/>
    <w:rsid w:val="00735567"/>
    <w:rsid w:val="007357AA"/>
    <w:rsid w:val="00735C9C"/>
    <w:rsid w:val="0073732A"/>
    <w:rsid w:val="00737534"/>
    <w:rsid w:val="007377D2"/>
    <w:rsid w:val="00740E3E"/>
    <w:rsid w:val="0074203E"/>
    <w:rsid w:val="007434F9"/>
    <w:rsid w:val="007445FB"/>
    <w:rsid w:val="00745CD9"/>
    <w:rsid w:val="00745E85"/>
    <w:rsid w:val="00746DCB"/>
    <w:rsid w:val="00747CAC"/>
    <w:rsid w:val="007503E9"/>
    <w:rsid w:val="00750FF3"/>
    <w:rsid w:val="007514B9"/>
    <w:rsid w:val="00751BEA"/>
    <w:rsid w:val="007555E4"/>
    <w:rsid w:val="00756045"/>
    <w:rsid w:val="00756B5E"/>
    <w:rsid w:val="0076088B"/>
    <w:rsid w:val="00760F3A"/>
    <w:rsid w:val="00761C0B"/>
    <w:rsid w:val="00763D2B"/>
    <w:rsid w:val="0076505E"/>
    <w:rsid w:val="007663C3"/>
    <w:rsid w:val="00767851"/>
    <w:rsid w:val="00770D9C"/>
    <w:rsid w:val="00770E8B"/>
    <w:rsid w:val="007713AD"/>
    <w:rsid w:val="00772B58"/>
    <w:rsid w:val="007769EC"/>
    <w:rsid w:val="00777034"/>
    <w:rsid w:val="0078034F"/>
    <w:rsid w:val="0078253F"/>
    <w:rsid w:val="007827E9"/>
    <w:rsid w:val="007845E9"/>
    <w:rsid w:val="007846D2"/>
    <w:rsid w:val="00784FBE"/>
    <w:rsid w:val="007865B2"/>
    <w:rsid w:val="00786B5D"/>
    <w:rsid w:val="00787B02"/>
    <w:rsid w:val="00787DC1"/>
    <w:rsid w:val="0079277C"/>
    <w:rsid w:val="00793D42"/>
    <w:rsid w:val="0079402E"/>
    <w:rsid w:val="00795A7B"/>
    <w:rsid w:val="00796306"/>
    <w:rsid w:val="007967CB"/>
    <w:rsid w:val="007A1BD7"/>
    <w:rsid w:val="007A2F7D"/>
    <w:rsid w:val="007A6376"/>
    <w:rsid w:val="007A734B"/>
    <w:rsid w:val="007A780C"/>
    <w:rsid w:val="007B1863"/>
    <w:rsid w:val="007B30B8"/>
    <w:rsid w:val="007B36E7"/>
    <w:rsid w:val="007B5C5C"/>
    <w:rsid w:val="007B638A"/>
    <w:rsid w:val="007B7505"/>
    <w:rsid w:val="007B795F"/>
    <w:rsid w:val="007B7C5E"/>
    <w:rsid w:val="007C2B2E"/>
    <w:rsid w:val="007C4D95"/>
    <w:rsid w:val="007C6BB8"/>
    <w:rsid w:val="007C7254"/>
    <w:rsid w:val="007C7C07"/>
    <w:rsid w:val="007D02B2"/>
    <w:rsid w:val="007D0622"/>
    <w:rsid w:val="007D0EB1"/>
    <w:rsid w:val="007D12F3"/>
    <w:rsid w:val="007D1B52"/>
    <w:rsid w:val="007D360A"/>
    <w:rsid w:val="007D5EFA"/>
    <w:rsid w:val="007D6DBE"/>
    <w:rsid w:val="007E0A7A"/>
    <w:rsid w:val="007E0E5A"/>
    <w:rsid w:val="007E1C5E"/>
    <w:rsid w:val="007E1F07"/>
    <w:rsid w:val="007E2AD6"/>
    <w:rsid w:val="007E4DB0"/>
    <w:rsid w:val="007F24B8"/>
    <w:rsid w:val="007F28EB"/>
    <w:rsid w:val="007F4819"/>
    <w:rsid w:val="007F4DA2"/>
    <w:rsid w:val="007F625E"/>
    <w:rsid w:val="007F7031"/>
    <w:rsid w:val="008000E4"/>
    <w:rsid w:val="00800F49"/>
    <w:rsid w:val="008035DB"/>
    <w:rsid w:val="008051FB"/>
    <w:rsid w:val="00805DDF"/>
    <w:rsid w:val="00806BBC"/>
    <w:rsid w:val="008109E9"/>
    <w:rsid w:val="008129D6"/>
    <w:rsid w:val="008135E9"/>
    <w:rsid w:val="00814F54"/>
    <w:rsid w:val="00815204"/>
    <w:rsid w:val="00816762"/>
    <w:rsid w:val="00821C3A"/>
    <w:rsid w:val="00823CD2"/>
    <w:rsid w:val="00824D3D"/>
    <w:rsid w:val="008253D9"/>
    <w:rsid w:val="00826853"/>
    <w:rsid w:val="00826C4C"/>
    <w:rsid w:val="00826EF6"/>
    <w:rsid w:val="008304FB"/>
    <w:rsid w:val="00830A95"/>
    <w:rsid w:val="0083198E"/>
    <w:rsid w:val="008319BB"/>
    <w:rsid w:val="00831CF1"/>
    <w:rsid w:val="00831DCA"/>
    <w:rsid w:val="008330A5"/>
    <w:rsid w:val="00833CA9"/>
    <w:rsid w:val="00833E06"/>
    <w:rsid w:val="008344E2"/>
    <w:rsid w:val="0083569A"/>
    <w:rsid w:val="00836963"/>
    <w:rsid w:val="00841303"/>
    <w:rsid w:val="00841827"/>
    <w:rsid w:val="00841AF1"/>
    <w:rsid w:val="00841E44"/>
    <w:rsid w:val="00842BD7"/>
    <w:rsid w:val="00843229"/>
    <w:rsid w:val="0084588D"/>
    <w:rsid w:val="00847A63"/>
    <w:rsid w:val="00850843"/>
    <w:rsid w:val="00851329"/>
    <w:rsid w:val="00852B80"/>
    <w:rsid w:val="008533C9"/>
    <w:rsid w:val="008536A3"/>
    <w:rsid w:val="00854EFD"/>
    <w:rsid w:val="00855E60"/>
    <w:rsid w:val="00856D9A"/>
    <w:rsid w:val="008575C1"/>
    <w:rsid w:val="00860A31"/>
    <w:rsid w:val="008611BF"/>
    <w:rsid w:val="00861845"/>
    <w:rsid w:val="00864D74"/>
    <w:rsid w:val="00866298"/>
    <w:rsid w:val="00866658"/>
    <w:rsid w:val="00866B41"/>
    <w:rsid w:val="00866C41"/>
    <w:rsid w:val="00872F6C"/>
    <w:rsid w:val="008739EC"/>
    <w:rsid w:val="00876135"/>
    <w:rsid w:val="00876C39"/>
    <w:rsid w:val="00877336"/>
    <w:rsid w:val="008808C0"/>
    <w:rsid w:val="008814C0"/>
    <w:rsid w:val="008822DC"/>
    <w:rsid w:val="00882E95"/>
    <w:rsid w:val="00883466"/>
    <w:rsid w:val="008837E5"/>
    <w:rsid w:val="008844ED"/>
    <w:rsid w:val="00886238"/>
    <w:rsid w:val="008863C4"/>
    <w:rsid w:val="00886AC3"/>
    <w:rsid w:val="00890F24"/>
    <w:rsid w:val="00892EE7"/>
    <w:rsid w:val="00893196"/>
    <w:rsid w:val="0089444B"/>
    <w:rsid w:val="00895069"/>
    <w:rsid w:val="0089605B"/>
    <w:rsid w:val="0089645A"/>
    <w:rsid w:val="008974AA"/>
    <w:rsid w:val="008977B3"/>
    <w:rsid w:val="008A191C"/>
    <w:rsid w:val="008A23F6"/>
    <w:rsid w:val="008A2542"/>
    <w:rsid w:val="008A62E8"/>
    <w:rsid w:val="008A6FB3"/>
    <w:rsid w:val="008B01BB"/>
    <w:rsid w:val="008B07AD"/>
    <w:rsid w:val="008B354B"/>
    <w:rsid w:val="008B3999"/>
    <w:rsid w:val="008B3E17"/>
    <w:rsid w:val="008B4683"/>
    <w:rsid w:val="008B4CBF"/>
    <w:rsid w:val="008B5E1A"/>
    <w:rsid w:val="008B74E1"/>
    <w:rsid w:val="008C0230"/>
    <w:rsid w:val="008C2613"/>
    <w:rsid w:val="008C27F4"/>
    <w:rsid w:val="008C2E13"/>
    <w:rsid w:val="008C2E43"/>
    <w:rsid w:val="008C3279"/>
    <w:rsid w:val="008C4D87"/>
    <w:rsid w:val="008C5342"/>
    <w:rsid w:val="008C5858"/>
    <w:rsid w:val="008D18BE"/>
    <w:rsid w:val="008D2A32"/>
    <w:rsid w:val="008D2B43"/>
    <w:rsid w:val="008D3890"/>
    <w:rsid w:val="008D44A9"/>
    <w:rsid w:val="008D6A83"/>
    <w:rsid w:val="008D72C6"/>
    <w:rsid w:val="008D7D3C"/>
    <w:rsid w:val="008E0E3A"/>
    <w:rsid w:val="008E3D4A"/>
    <w:rsid w:val="008F068E"/>
    <w:rsid w:val="008F2C87"/>
    <w:rsid w:val="008F5D24"/>
    <w:rsid w:val="008F7DFB"/>
    <w:rsid w:val="009020A2"/>
    <w:rsid w:val="009030A6"/>
    <w:rsid w:val="00904D4C"/>
    <w:rsid w:val="00906A09"/>
    <w:rsid w:val="0090789E"/>
    <w:rsid w:val="00907A9C"/>
    <w:rsid w:val="00907E30"/>
    <w:rsid w:val="00910884"/>
    <w:rsid w:val="009111DE"/>
    <w:rsid w:val="00912370"/>
    <w:rsid w:val="00915CF9"/>
    <w:rsid w:val="00915D9A"/>
    <w:rsid w:val="00916FAA"/>
    <w:rsid w:val="00917943"/>
    <w:rsid w:val="00921CA5"/>
    <w:rsid w:val="00922121"/>
    <w:rsid w:val="009227CC"/>
    <w:rsid w:val="009230D0"/>
    <w:rsid w:val="009248D5"/>
    <w:rsid w:val="00925A2D"/>
    <w:rsid w:val="0092611C"/>
    <w:rsid w:val="00926817"/>
    <w:rsid w:val="00926C6A"/>
    <w:rsid w:val="00926D45"/>
    <w:rsid w:val="0092762C"/>
    <w:rsid w:val="00930A1D"/>
    <w:rsid w:val="0093133B"/>
    <w:rsid w:val="009313E9"/>
    <w:rsid w:val="0093146B"/>
    <w:rsid w:val="009322F3"/>
    <w:rsid w:val="00932791"/>
    <w:rsid w:val="009327C4"/>
    <w:rsid w:val="009331DE"/>
    <w:rsid w:val="00933246"/>
    <w:rsid w:val="0093364E"/>
    <w:rsid w:val="00933995"/>
    <w:rsid w:val="009372B6"/>
    <w:rsid w:val="00937401"/>
    <w:rsid w:val="0094009F"/>
    <w:rsid w:val="009407E0"/>
    <w:rsid w:val="00940D30"/>
    <w:rsid w:val="0094126A"/>
    <w:rsid w:val="009422C5"/>
    <w:rsid w:val="009424C9"/>
    <w:rsid w:val="009454BC"/>
    <w:rsid w:val="009471B0"/>
    <w:rsid w:val="009502CC"/>
    <w:rsid w:val="0095053A"/>
    <w:rsid w:val="00952399"/>
    <w:rsid w:val="00953EDC"/>
    <w:rsid w:val="009547F0"/>
    <w:rsid w:val="009565C2"/>
    <w:rsid w:val="00956903"/>
    <w:rsid w:val="00960369"/>
    <w:rsid w:val="009656B0"/>
    <w:rsid w:val="00966742"/>
    <w:rsid w:val="0096774D"/>
    <w:rsid w:val="00970300"/>
    <w:rsid w:val="0097111C"/>
    <w:rsid w:val="00972E88"/>
    <w:rsid w:val="00973A96"/>
    <w:rsid w:val="00975080"/>
    <w:rsid w:val="00977242"/>
    <w:rsid w:val="00980484"/>
    <w:rsid w:val="009818C9"/>
    <w:rsid w:val="00981E68"/>
    <w:rsid w:val="009823B7"/>
    <w:rsid w:val="00982B31"/>
    <w:rsid w:val="0098374D"/>
    <w:rsid w:val="00984076"/>
    <w:rsid w:val="009844BE"/>
    <w:rsid w:val="009920D5"/>
    <w:rsid w:val="009932F6"/>
    <w:rsid w:val="00995C97"/>
    <w:rsid w:val="00996188"/>
    <w:rsid w:val="009978CF"/>
    <w:rsid w:val="009979C5"/>
    <w:rsid w:val="009A3804"/>
    <w:rsid w:val="009A3A42"/>
    <w:rsid w:val="009A4472"/>
    <w:rsid w:val="009A6EB3"/>
    <w:rsid w:val="009A76D2"/>
    <w:rsid w:val="009B01A2"/>
    <w:rsid w:val="009B030B"/>
    <w:rsid w:val="009B131C"/>
    <w:rsid w:val="009B16B8"/>
    <w:rsid w:val="009B3D3B"/>
    <w:rsid w:val="009B4F90"/>
    <w:rsid w:val="009B6405"/>
    <w:rsid w:val="009B78A7"/>
    <w:rsid w:val="009C0B02"/>
    <w:rsid w:val="009C2E4F"/>
    <w:rsid w:val="009C3F10"/>
    <w:rsid w:val="009C4D15"/>
    <w:rsid w:val="009C599E"/>
    <w:rsid w:val="009C60B3"/>
    <w:rsid w:val="009C6110"/>
    <w:rsid w:val="009C637C"/>
    <w:rsid w:val="009C63E3"/>
    <w:rsid w:val="009C7DC7"/>
    <w:rsid w:val="009D027D"/>
    <w:rsid w:val="009D0C57"/>
    <w:rsid w:val="009D0E36"/>
    <w:rsid w:val="009D1081"/>
    <w:rsid w:val="009D37B5"/>
    <w:rsid w:val="009D770B"/>
    <w:rsid w:val="009D7852"/>
    <w:rsid w:val="009E11D1"/>
    <w:rsid w:val="009E1AE0"/>
    <w:rsid w:val="009E1B01"/>
    <w:rsid w:val="009E32D8"/>
    <w:rsid w:val="009E4998"/>
    <w:rsid w:val="009E605B"/>
    <w:rsid w:val="009E736A"/>
    <w:rsid w:val="009F171C"/>
    <w:rsid w:val="009F1DFC"/>
    <w:rsid w:val="009F26E7"/>
    <w:rsid w:val="009F330C"/>
    <w:rsid w:val="009F34C9"/>
    <w:rsid w:val="009F4F76"/>
    <w:rsid w:val="009F5975"/>
    <w:rsid w:val="009F61D0"/>
    <w:rsid w:val="009F6AB4"/>
    <w:rsid w:val="00A01164"/>
    <w:rsid w:val="00A01918"/>
    <w:rsid w:val="00A01D13"/>
    <w:rsid w:val="00A035EA"/>
    <w:rsid w:val="00A0413E"/>
    <w:rsid w:val="00A041B3"/>
    <w:rsid w:val="00A04804"/>
    <w:rsid w:val="00A064DE"/>
    <w:rsid w:val="00A1122B"/>
    <w:rsid w:val="00A11CBF"/>
    <w:rsid w:val="00A142FF"/>
    <w:rsid w:val="00A1644D"/>
    <w:rsid w:val="00A175E2"/>
    <w:rsid w:val="00A20E6D"/>
    <w:rsid w:val="00A2123F"/>
    <w:rsid w:val="00A212E0"/>
    <w:rsid w:val="00A2333A"/>
    <w:rsid w:val="00A256A2"/>
    <w:rsid w:val="00A26A38"/>
    <w:rsid w:val="00A26C07"/>
    <w:rsid w:val="00A275BD"/>
    <w:rsid w:val="00A27F66"/>
    <w:rsid w:val="00A30602"/>
    <w:rsid w:val="00A308AC"/>
    <w:rsid w:val="00A327BF"/>
    <w:rsid w:val="00A3382F"/>
    <w:rsid w:val="00A3418A"/>
    <w:rsid w:val="00A3485A"/>
    <w:rsid w:val="00A3488E"/>
    <w:rsid w:val="00A348A6"/>
    <w:rsid w:val="00A35343"/>
    <w:rsid w:val="00A356C0"/>
    <w:rsid w:val="00A35732"/>
    <w:rsid w:val="00A3678C"/>
    <w:rsid w:val="00A37B55"/>
    <w:rsid w:val="00A37B86"/>
    <w:rsid w:val="00A415C2"/>
    <w:rsid w:val="00A4250E"/>
    <w:rsid w:val="00A43D63"/>
    <w:rsid w:val="00A446B4"/>
    <w:rsid w:val="00A45A19"/>
    <w:rsid w:val="00A47900"/>
    <w:rsid w:val="00A50790"/>
    <w:rsid w:val="00A5294F"/>
    <w:rsid w:val="00A529E9"/>
    <w:rsid w:val="00A5388C"/>
    <w:rsid w:val="00A548E6"/>
    <w:rsid w:val="00A55160"/>
    <w:rsid w:val="00A56B01"/>
    <w:rsid w:val="00A579FF"/>
    <w:rsid w:val="00A61DD3"/>
    <w:rsid w:val="00A634F1"/>
    <w:rsid w:val="00A63817"/>
    <w:rsid w:val="00A6407B"/>
    <w:rsid w:val="00A64F09"/>
    <w:rsid w:val="00A65813"/>
    <w:rsid w:val="00A666D0"/>
    <w:rsid w:val="00A6726E"/>
    <w:rsid w:val="00A70A2B"/>
    <w:rsid w:val="00A71956"/>
    <w:rsid w:val="00A71E09"/>
    <w:rsid w:val="00A73980"/>
    <w:rsid w:val="00A73F76"/>
    <w:rsid w:val="00A741A7"/>
    <w:rsid w:val="00A77C3C"/>
    <w:rsid w:val="00A810F3"/>
    <w:rsid w:val="00A818A9"/>
    <w:rsid w:val="00A827EB"/>
    <w:rsid w:val="00A82E59"/>
    <w:rsid w:val="00A83058"/>
    <w:rsid w:val="00A84008"/>
    <w:rsid w:val="00A84121"/>
    <w:rsid w:val="00A86168"/>
    <w:rsid w:val="00A8690F"/>
    <w:rsid w:val="00A90A9E"/>
    <w:rsid w:val="00A90E39"/>
    <w:rsid w:val="00A90FA3"/>
    <w:rsid w:val="00A9204E"/>
    <w:rsid w:val="00A927C7"/>
    <w:rsid w:val="00A93BF1"/>
    <w:rsid w:val="00A94209"/>
    <w:rsid w:val="00A94F9F"/>
    <w:rsid w:val="00AA27B5"/>
    <w:rsid w:val="00AA3A25"/>
    <w:rsid w:val="00AA3A86"/>
    <w:rsid w:val="00AA6ECF"/>
    <w:rsid w:val="00AA7076"/>
    <w:rsid w:val="00AB0C87"/>
    <w:rsid w:val="00AB1647"/>
    <w:rsid w:val="00AB20CE"/>
    <w:rsid w:val="00AB266B"/>
    <w:rsid w:val="00AB2B16"/>
    <w:rsid w:val="00AB2DED"/>
    <w:rsid w:val="00AB3077"/>
    <w:rsid w:val="00AB33FF"/>
    <w:rsid w:val="00AB44F3"/>
    <w:rsid w:val="00AB5511"/>
    <w:rsid w:val="00AB68FE"/>
    <w:rsid w:val="00AB6E27"/>
    <w:rsid w:val="00AB7339"/>
    <w:rsid w:val="00AB7E8D"/>
    <w:rsid w:val="00AC005C"/>
    <w:rsid w:val="00AC09CB"/>
    <w:rsid w:val="00AC0BD9"/>
    <w:rsid w:val="00AC2D8F"/>
    <w:rsid w:val="00AC424F"/>
    <w:rsid w:val="00AC6785"/>
    <w:rsid w:val="00AC7A04"/>
    <w:rsid w:val="00AD206C"/>
    <w:rsid w:val="00AD26E8"/>
    <w:rsid w:val="00AD3DB4"/>
    <w:rsid w:val="00AD6A77"/>
    <w:rsid w:val="00AD7B3E"/>
    <w:rsid w:val="00AE03ED"/>
    <w:rsid w:val="00AE17FF"/>
    <w:rsid w:val="00AE4317"/>
    <w:rsid w:val="00AE566F"/>
    <w:rsid w:val="00AE5A14"/>
    <w:rsid w:val="00AE683D"/>
    <w:rsid w:val="00AF06A2"/>
    <w:rsid w:val="00AF0AFE"/>
    <w:rsid w:val="00AF22BB"/>
    <w:rsid w:val="00AF2BC0"/>
    <w:rsid w:val="00AF4408"/>
    <w:rsid w:val="00AF4B7E"/>
    <w:rsid w:val="00AF52C1"/>
    <w:rsid w:val="00AF53EE"/>
    <w:rsid w:val="00B008C0"/>
    <w:rsid w:val="00B0112E"/>
    <w:rsid w:val="00B01AAF"/>
    <w:rsid w:val="00B01AC0"/>
    <w:rsid w:val="00B03030"/>
    <w:rsid w:val="00B10D3F"/>
    <w:rsid w:val="00B11622"/>
    <w:rsid w:val="00B125C0"/>
    <w:rsid w:val="00B12BEF"/>
    <w:rsid w:val="00B13A7A"/>
    <w:rsid w:val="00B16634"/>
    <w:rsid w:val="00B2019D"/>
    <w:rsid w:val="00B232F1"/>
    <w:rsid w:val="00B25945"/>
    <w:rsid w:val="00B259F2"/>
    <w:rsid w:val="00B264CB"/>
    <w:rsid w:val="00B26638"/>
    <w:rsid w:val="00B27108"/>
    <w:rsid w:val="00B27608"/>
    <w:rsid w:val="00B32155"/>
    <w:rsid w:val="00B32AF8"/>
    <w:rsid w:val="00B34744"/>
    <w:rsid w:val="00B34AD6"/>
    <w:rsid w:val="00B3705F"/>
    <w:rsid w:val="00B37D4B"/>
    <w:rsid w:val="00B40975"/>
    <w:rsid w:val="00B42258"/>
    <w:rsid w:val="00B422AC"/>
    <w:rsid w:val="00B42BC1"/>
    <w:rsid w:val="00B42F07"/>
    <w:rsid w:val="00B4326B"/>
    <w:rsid w:val="00B437C9"/>
    <w:rsid w:val="00B44F09"/>
    <w:rsid w:val="00B4733B"/>
    <w:rsid w:val="00B52CF1"/>
    <w:rsid w:val="00B52DC5"/>
    <w:rsid w:val="00B53933"/>
    <w:rsid w:val="00B665DE"/>
    <w:rsid w:val="00B66715"/>
    <w:rsid w:val="00B667BC"/>
    <w:rsid w:val="00B670FA"/>
    <w:rsid w:val="00B67B36"/>
    <w:rsid w:val="00B71761"/>
    <w:rsid w:val="00B729EC"/>
    <w:rsid w:val="00B7343C"/>
    <w:rsid w:val="00B73F93"/>
    <w:rsid w:val="00B74037"/>
    <w:rsid w:val="00B744BE"/>
    <w:rsid w:val="00B74C13"/>
    <w:rsid w:val="00B75D41"/>
    <w:rsid w:val="00B7606C"/>
    <w:rsid w:val="00B76B8A"/>
    <w:rsid w:val="00B819D9"/>
    <w:rsid w:val="00B81FCE"/>
    <w:rsid w:val="00B84339"/>
    <w:rsid w:val="00B84DAB"/>
    <w:rsid w:val="00B853FD"/>
    <w:rsid w:val="00B85DCE"/>
    <w:rsid w:val="00B86061"/>
    <w:rsid w:val="00B908CB"/>
    <w:rsid w:val="00B91E6C"/>
    <w:rsid w:val="00B927AE"/>
    <w:rsid w:val="00B94413"/>
    <w:rsid w:val="00B9593B"/>
    <w:rsid w:val="00BA0CF2"/>
    <w:rsid w:val="00BA4192"/>
    <w:rsid w:val="00BA42B4"/>
    <w:rsid w:val="00BA48DD"/>
    <w:rsid w:val="00BA56C5"/>
    <w:rsid w:val="00BB230C"/>
    <w:rsid w:val="00BB2A8B"/>
    <w:rsid w:val="00BB2C1A"/>
    <w:rsid w:val="00BC15E4"/>
    <w:rsid w:val="00BC3447"/>
    <w:rsid w:val="00BC4D10"/>
    <w:rsid w:val="00BC7942"/>
    <w:rsid w:val="00BC7FF1"/>
    <w:rsid w:val="00BD0A72"/>
    <w:rsid w:val="00BD2BEB"/>
    <w:rsid w:val="00BD33F3"/>
    <w:rsid w:val="00BD36F2"/>
    <w:rsid w:val="00BD4C6C"/>
    <w:rsid w:val="00BD78A3"/>
    <w:rsid w:val="00BE0A35"/>
    <w:rsid w:val="00BE0BEE"/>
    <w:rsid w:val="00BE0E70"/>
    <w:rsid w:val="00BE0F61"/>
    <w:rsid w:val="00BE46E9"/>
    <w:rsid w:val="00BE5161"/>
    <w:rsid w:val="00BE72B5"/>
    <w:rsid w:val="00BF0B4D"/>
    <w:rsid w:val="00BF1D59"/>
    <w:rsid w:val="00BF3CDC"/>
    <w:rsid w:val="00BF4366"/>
    <w:rsid w:val="00BF4785"/>
    <w:rsid w:val="00BF4F9C"/>
    <w:rsid w:val="00BF5258"/>
    <w:rsid w:val="00BF6805"/>
    <w:rsid w:val="00BF7216"/>
    <w:rsid w:val="00BF79B3"/>
    <w:rsid w:val="00C00DDC"/>
    <w:rsid w:val="00C0198F"/>
    <w:rsid w:val="00C02363"/>
    <w:rsid w:val="00C027CE"/>
    <w:rsid w:val="00C0353D"/>
    <w:rsid w:val="00C073FA"/>
    <w:rsid w:val="00C076B8"/>
    <w:rsid w:val="00C10242"/>
    <w:rsid w:val="00C13081"/>
    <w:rsid w:val="00C144A1"/>
    <w:rsid w:val="00C14C53"/>
    <w:rsid w:val="00C14D48"/>
    <w:rsid w:val="00C1598D"/>
    <w:rsid w:val="00C168CD"/>
    <w:rsid w:val="00C168F0"/>
    <w:rsid w:val="00C16B6F"/>
    <w:rsid w:val="00C213D1"/>
    <w:rsid w:val="00C216FE"/>
    <w:rsid w:val="00C2171F"/>
    <w:rsid w:val="00C22361"/>
    <w:rsid w:val="00C227FB"/>
    <w:rsid w:val="00C22DD4"/>
    <w:rsid w:val="00C239A5"/>
    <w:rsid w:val="00C27BA2"/>
    <w:rsid w:val="00C30B10"/>
    <w:rsid w:val="00C3150C"/>
    <w:rsid w:val="00C336AE"/>
    <w:rsid w:val="00C349B0"/>
    <w:rsid w:val="00C36E8E"/>
    <w:rsid w:val="00C37A63"/>
    <w:rsid w:val="00C41CD4"/>
    <w:rsid w:val="00C44580"/>
    <w:rsid w:val="00C44826"/>
    <w:rsid w:val="00C449AC"/>
    <w:rsid w:val="00C50CA3"/>
    <w:rsid w:val="00C51583"/>
    <w:rsid w:val="00C55084"/>
    <w:rsid w:val="00C56F36"/>
    <w:rsid w:val="00C57C00"/>
    <w:rsid w:val="00C60ED1"/>
    <w:rsid w:val="00C6101B"/>
    <w:rsid w:val="00C6101E"/>
    <w:rsid w:val="00C61247"/>
    <w:rsid w:val="00C61AFC"/>
    <w:rsid w:val="00C62A07"/>
    <w:rsid w:val="00C63418"/>
    <w:rsid w:val="00C6442A"/>
    <w:rsid w:val="00C6449E"/>
    <w:rsid w:val="00C6680F"/>
    <w:rsid w:val="00C6743B"/>
    <w:rsid w:val="00C677E3"/>
    <w:rsid w:val="00C70ABF"/>
    <w:rsid w:val="00C70BD3"/>
    <w:rsid w:val="00C74A0A"/>
    <w:rsid w:val="00C74E72"/>
    <w:rsid w:val="00C77641"/>
    <w:rsid w:val="00C77B8A"/>
    <w:rsid w:val="00C828D1"/>
    <w:rsid w:val="00C86CF3"/>
    <w:rsid w:val="00C87531"/>
    <w:rsid w:val="00C90C4A"/>
    <w:rsid w:val="00C917E9"/>
    <w:rsid w:val="00C93094"/>
    <w:rsid w:val="00C936F1"/>
    <w:rsid w:val="00C93E71"/>
    <w:rsid w:val="00C945E8"/>
    <w:rsid w:val="00C9463C"/>
    <w:rsid w:val="00C951D8"/>
    <w:rsid w:val="00C9579C"/>
    <w:rsid w:val="00C964C8"/>
    <w:rsid w:val="00C96C46"/>
    <w:rsid w:val="00CA0D0B"/>
    <w:rsid w:val="00CA180B"/>
    <w:rsid w:val="00CA2DC2"/>
    <w:rsid w:val="00CA2E31"/>
    <w:rsid w:val="00CA4EE5"/>
    <w:rsid w:val="00CA58BF"/>
    <w:rsid w:val="00CA61EB"/>
    <w:rsid w:val="00CA7D55"/>
    <w:rsid w:val="00CB041D"/>
    <w:rsid w:val="00CB211D"/>
    <w:rsid w:val="00CB2194"/>
    <w:rsid w:val="00CB2EBD"/>
    <w:rsid w:val="00CB371D"/>
    <w:rsid w:val="00CB5C8F"/>
    <w:rsid w:val="00CC454C"/>
    <w:rsid w:val="00CC4E7D"/>
    <w:rsid w:val="00CC5235"/>
    <w:rsid w:val="00CC70DB"/>
    <w:rsid w:val="00CD0147"/>
    <w:rsid w:val="00CD0DDE"/>
    <w:rsid w:val="00CD15FF"/>
    <w:rsid w:val="00CD1F06"/>
    <w:rsid w:val="00CD2D0E"/>
    <w:rsid w:val="00CD4248"/>
    <w:rsid w:val="00CD44F3"/>
    <w:rsid w:val="00CD459F"/>
    <w:rsid w:val="00CD4798"/>
    <w:rsid w:val="00CD6B1D"/>
    <w:rsid w:val="00CE0D7B"/>
    <w:rsid w:val="00CE12B0"/>
    <w:rsid w:val="00CE20FC"/>
    <w:rsid w:val="00CE248E"/>
    <w:rsid w:val="00CE3305"/>
    <w:rsid w:val="00CE59ED"/>
    <w:rsid w:val="00CE7A0A"/>
    <w:rsid w:val="00CF110F"/>
    <w:rsid w:val="00CF3EE6"/>
    <w:rsid w:val="00D007DA"/>
    <w:rsid w:val="00D024D4"/>
    <w:rsid w:val="00D0357B"/>
    <w:rsid w:val="00D03CC0"/>
    <w:rsid w:val="00D05022"/>
    <w:rsid w:val="00D050C9"/>
    <w:rsid w:val="00D051FD"/>
    <w:rsid w:val="00D0715A"/>
    <w:rsid w:val="00D103F0"/>
    <w:rsid w:val="00D10555"/>
    <w:rsid w:val="00D125E8"/>
    <w:rsid w:val="00D13D2A"/>
    <w:rsid w:val="00D15526"/>
    <w:rsid w:val="00D1610E"/>
    <w:rsid w:val="00D16283"/>
    <w:rsid w:val="00D16BE8"/>
    <w:rsid w:val="00D204F8"/>
    <w:rsid w:val="00D2073E"/>
    <w:rsid w:val="00D207AF"/>
    <w:rsid w:val="00D20B95"/>
    <w:rsid w:val="00D21189"/>
    <w:rsid w:val="00D211C9"/>
    <w:rsid w:val="00D23F17"/>
    <w:rsid w:val="00D31052"/>
    <w:rsid w:val="00D310E2"/>
    <w:rsid w:val="00D31DF7"/>
    <w:rsid w:val="00D31E4F"/>
    <w:rsid w:val="00D32279"/>
    <w:rsid w:val="00D32378"/>
    <w:rsid w:val="00D33B25"/>
    <w:rsid w:val="00D3510C"/>
    <w:rsid w:val="00D35289"/>
    <w:rsid w:val="00D35E9E"/>
    <w:rsid w:val="00D361A9"/>
    <w:rsid w:val="00D3702A"/>
    <w:rsid w:val="00D4034C"/>
    <w:rsid w:val="00D41D1E"/>
    <w:rsid w:val="00D447DE"/>
    <w:rsid w:val="00D45201"/>
    <w:rsid w:val="00D47E04"/>
    <w:rsid w:val="00D52E24"/>
    <w:rsid w:val="00D53991"/>
    <w:rsid w:val="00D55E84"/>
    <w:rsid w:val="00D60504"/>
    <w:rsid w:val="00D620DD"/>
    <w:rsid w:val="00D63E72"/>
    <w:rsid w:val="00D64025"/>
    <w:rsid w:val="00D642F5"/>
    <w:rsid w:val="00D64D4A"/>
    <w:rsid w:val="00D64E5C"/>
    <w:rsid w:val="00D64EE6"/>
    <w:rsid w:val="00D6592E"/>
    <w:rsid w:val="00D66FC8"/>
    <w:rsid w:val="00D67BAD"/>
    <w:rsid w:val="00D71507"/>
    <w:rsid w:val="00D71609"/>
    <w:rsid w:val="00D73A7A"/>
    <w:rsid w:val="00D7447B"/>
    <w:rsid w:val="00D77692"/>
    <w:rsid w:val="00D8067D"/>
    <w:rsid w:val="00D80A95"/>
    <w:rsid w:val="00D82853"/>
    <w:rsid w:val="00D83482"/>
    <w:rsid w:val="00D84D2D"/>
    <w:rsid w:val="00D85BB7"/>
    <w:rsid w:val="00D86AC4"/>
    <w:rsid w:val="00D86CCB"/>
    <w:rsid w:val="00D87E53"/>
    <w:rsid w:val="00D9136D"/>
    <w:rsid w:val="00D91AE6"/>
    <w:rsid w:val="00D91E8A"/>
    <w:rsid w:val="00D9221D"/>
    <w:rsid w:val="00D929C1"/>
    <w:rsid w:val="00D92ABD"/>
    <w:rsid w:val="00D93118"/>
    <w:rsid w:val="00D946A2"/>
    <w:rsid w:val="00D95CF2"/>
    <w:rsid w:val="00D97E5D"/>
    <w:rsid w:val="00DA0227"/>
    <w:rsid w:val="00DA28CE"/>
    <w:rsid w:val="00DA2A2D"/>
    <w:rsid w:val="00DA2EA6"/>
    <w:rsid w:val="00DA3C77"/>
    <w:rsid w:val="00DA3E5B"/>
    <w:rsid w:val="00DA434E"/>
    <w:rsid w:val="00DA4F4B"/>
    <w:rsid w:val="00DA6767"/>
    <w:rsid w:val="00DA7B34"/>
    <w:rsid w:val="00DB4042"/>
    <w:rsid w:val="00DB500A"/>
    <w:rsid w:val="00DB5FE7"/>
    <w:rsid w:val="00DB675F"/>
    <w:rsid w:val="00DB6F67"/>
    <w:rsid w:val="00DC0FCF"/>
    <w:rsid w:val="00DC26FF"/>
    <w:rsid w:val="00DC4883"/>
    <w:rsid w:val="00DC5636"/>
    <w:rsid w:val="00DC7AFA"/>
    <w:rsid w:val="00DC7BAD"/>
    <w:rsid w:val="00DD204E"/>
    <w:rsid w:val="00DD2241"/>
    <w:rsid w:val="00DD33AA"/>
    <w:rsid w:val="00DD5BA1"/>
    <w:rsid w:val="00DD5FD2"/>
    <w:rsid w:val="00DE02AF"/>
    <w:rsid w:val="00DE0CAE"/>
    <w:rsid w:val="00DE175E"/>
    <w:rsid w:val="00DE25A1"/>
    <w:rsid w:val="00DE43B5"/>
    <w:rsid w:val="00DE5B2E"/>
    <w:rsid w:val="00DE7719"/>
    <w:rsid w:val="00DF1ACB"/>
    <w:rsid w:val="00DF1C81"/>
    <w:rsid w:val="00DF32F2"/>
    <w:rsid w:val="00DF38EC"/>
    <w:rsid w:val="00DF4899"/>
    <w:rsid w:val="00DF582C"/>
    <w:rsid w:val="00DF5892"/>
    <w:rsid w:val="00DF72F2"/>
    <w:rsid w:val="00E00351"/>
    <w:rsid w:val="00E0065F"/>
    <w:rsid w:val="00E02F4A"/>
    <w:rsid w:val="00E03DFA"/>
    <w:rsid w:val="00E03E10"/>
    <w:rsid w:val="00E04371"/>
    <w:rsid w:val="00E05D41"/>
    <w:rsid w:val="00E070C1"/>
    <w:rsid w:val="00E1007C"/>
    <w:rsid w:val="00E10BDD"/>
    <w:rsid w:val="00E12223"/>
    <w:rsid w:val="00E133A6"/>
    <w:rsid w:val="00E14660"/>
    <w:rsid w:val="00E148A2"/>
    <w:rsid w:val="00E179D2"/>
    <w:rsid w:val="00E20DB1"/>
    <w:rsid w:val="00E22453"/>
    <w:rsid w:val="00E22F69"/>
    <w:rsid w:val="00E2317B"/>
    <w:rsid w:val="00E23E06"/>
    <w:rsid w:val="00E2746F"/>
    <w:rsid w:val="00E30993"/>
    <w:rsid w:val="00E311E5"/>
    <w:rsid w:val="00E3195F"/>
    <w:rsid w:val="00E31DED"/>
    <w:rsid w:val="00E33DD7"/>
    <w:rsid w:val="00E346F5"/>
    <w:rsid w:val="00E349B0"/>
    <w:rsid w:val="00E354CD"/>
    <w:rsid w:val="00E356E1"/>
    <w:rsid w:val="00E35A66"/>
    <w:rsid w:val="00E371ED"/>
    <w:rsid w:val="00E37A2E"/>
    <w:rsid w:val="00E4021F"/>
    <w:rsid w:val="00E414B3"/>
    <w:rsid w:val="00E456B6"/>
    <w:rsid w:val="00E45991"/>
    <w:rsid w:val="00E50352"/>
    <w:rsid w:val="00E50806"/>
    <w:rsid w:val="00E50E11"/>
    <w:rsid w:val="00E50F53"/>
    <w:rsid w:val="00E527F0"/>
    <w:rsid w:val="00E5420A"/>
    <w:rsid w:val="00E61961"/>
    <w:rsid w:val="00E63897"/>
    <w:rsid w:val="00E64BA5"/>
    <w:rsid w:val="00E64CB2"/>
    <w:rsid w:val="00E66E11"/>
    <w:rsid w:val="00E718A4"/>
    <w:rsid w:val="00E71CCE"/>
    <w:rsid w:val="00E72AD3"/>
    <w:rsid w:val="00E800EB"/>
    <w:rsid w:val="00E8162F"/>
    <w:rsid w:val="00E82318"/>
    <w:rsid w:val="00E82365"/>
    <w:rsid w:val="00E82AED"/>
    <w:rsid w:val="00E82E45"/>
    <w:rsid w:val="00E85551"/>
    <w:rsid w:val="00E86BCF"/>
    <w:rsid w:val="00E87162"/>
    <w:rsid w:val="00E873FB"/>
    <w:rsid w:val="00E91A31"/>
    <w:rsid w:val="00E92D21"/>
    <w:rsid w:val="00E9345D"/>
    <w:rsid w:val="00E942DF"/>
    <w:rsid w:val="00E943D0"/>
    <w:rsid w:val="00E945E8"/>
    <w:rsid w:val="00E95F32"/>
    <w:rsid w:val="00E96701"/>
    <w:rsid w:val="00E9711B"/>
    <w:rsid w:val="00EA19B5"/>
    <w:rsid w:val="00EA433D"/>
    <w:rsid w:val="00EB0888"/>
    <w:rsid w:val="00EB16F9"/>
    <w:rsid w:val="00EB3728"/>
    <w:rsid w:val="00EC140A"/>
    <w:rsid w:val="00EC1509"/>
    <w:rsid w:val="00EC4958"/>
    <w:rsid w:val="00EC5838"/>
    <w:rsid w:val="00EC6076"/>
    <w:rsid w:val="00EC7CD4"/>
    <w:rsid w:val="00EC7EE6"/>
    <w:rsid w:val="00ED0CBB"/>
    <w:rsid w:val="00ED12E7"/>
    <w:rsid w:val="00ED1B48"/>
    <w:rsid w:val="00ED4970"/>
    <w:rsid w:val="00ED5BCD"/>
    <w:rsid w:val="00ED7968"/>
    <w:rsid w:val="00ED7AEF"/>
    <w:rsid w:val="00EE18A1"/>
    <w:rsid w:val="00EE2F0D"/>
    <w:rsid w:val="00EE53DE"/>
    <w:rsid w:val="00EE6B8D"/>
    <w:rsid w:val="00EE7AFF"/>
    <w:rsid w:val="00EF08D8"/>
    <w:rsid w:val="00EF20B3"/>
    <w:rsid w:val="00EF26D5"/>
    <w:rsid w:val="00EF2779"/>
    <w:rsid w:val="00EF30B0"/>
    <w:rsid w:val="00EF3CB5"/>
    <w:rsid w:val="00EF3E15"/>
    <w:rsid w:val="00EF5165"/>
    <w:rsid w:val="00EF542C"/>
    <w:rsid w:val="00F01D41"/>
    <w:rsid w:val="00F02360"/>
    <w:rsid w:val="00F051F5"/>
    <w:rsid w:val="00F10B2C"/>
    <w:rsid w:val="00F11353"/>
    <w:rsid w:val="00F12BEE"/>
    <w:rsid w:val="00F14C4D"/>
    <w:rsid w:val="00F150B5"/>
    <w:rsid w:val="00F158B0"/>
    <w:rsid w:val="00F164F3"/>
    <w:rsid w:val="00F174C8"/>
    <w:rsid w:val="00F21592"/>
    <w:rsid w:val="00F21FC4"/>
    <w:rsid w:val="00F22A5C"/>
    <w:rsid w:val="00F25A72"/>
    <w:rsid w:val="00F31ECE"/>
    <w:rsid w:val="00F3232D"/>
    <w:rsid w:val="00F32842"/>
    <w:rsid w:val="00F3396C"/>
    <w:rsid w:val="00F358A6"/>
    <w:rsid w:val="00F36320"/>
    <w:rsid w:val="00F36B06"/>
    <w:rsid w:val="00F37800"/>
    <w:rsid w:val="00F37F3B"/>
    <w:rsid w:val="00F404C8"/>
    <w:rsid w:val="00F40A73"/>
    <w:rsid w:val="00F40AE4"/>
    <w:rsid w:val="00F413C3"/>
    <w:rsid w:val="00F41B89"/>
    <w:rsid w:val="00F42730"/>
    <w:rsid w:val="00F43568"/>
    <w:rsid w:val="00F4379B"/>
    <w:rsid w:val="00F440BC"/>
    <w:rsid w:val="00F47522"/>
    <w:rsid w:val="00F47F68"/>
    <w:rsid w:val="00F5102F"/>
    <w:rsid w:val="00F5186C"/>
    <w:rsid w:val="00F52F96"/>
    <w:rsid w:val="00F53DD0"/>
    <w:rsid w:val="00F5490F"/>
    <w:rsid w:val="00F552EF"/>
    <w:rsid w:val="00F553BB"/>
    <w:rsid w:val="00F553D5"/>
    <w:rsid w:val="00F55671"/>
    <w:rsid w:val="00F55904"/>
    <w:rsid w:val="00F56B38"/>
    <w:rsid w:val="00F570C8"/>
    <w:rsid w:val="00F5749C"/>
    <w:rsid w:val="00F61DA7"/>
    <w:rsid w:val="00F622FD"/>
    <w:rsid w:val="00F628FD"/>
    <w:rsid w:val="00F65A6F"/>
    <w:rsid w:val="00F66DA3"/>
    <w:rsid w:val="00F670BC"/>
    <w:rsid w:val="00F67EE4"/>
    <w:rsid w:val="00F70A6D"/>
    <w:rsid w:val="00F70E16"/>
    <w:rsid w:val="00F70F1B"/>
    <w:rsid w:val="00F713F2"/>
    <w:rsid w:val="00F732AF"/>
    <w:rsid w:val="00F73643"/>
    <w:rsid w:val="00F82333"/>
    <w:rsid w:val="00F82F08"/>
    <w:rsid w:val="00F83D4D"/>
    <w:rsid w:val="00F906B2"/>
    <w:rsid w:val="00F92212"/>
    <w:rsid w:val="00F93F23"/>
    <w:rsid w:val="00F94B3D"/>
    <w:rsid w:val="00F95E3D"/>
    <w:rsid w:val="00F96745"/>
    <w:rsid w:val="00F96905"/>
    <w:rsid w:val="00F96E66"/>
    <w:rsid w:val="00FA2740"/>
    <w:rsid w:val="00FA383F"/>
    <w:rsid w:val="00FB00EA"/>
    <w:rsid w:val="00FB1208"/>
    <w:rsid w:val="00FB1946"/>
    <w:rsid w:val="00FB1A98"/>
    <w:rsid w:val="00FB1F16"/>
    <w:rsid w:val="00FB58B8"/>
    <w:rsid w:val="00FB5EA1"/>
    <w:rsid w:val="00FB63D5"/>
    <w:rsid w:val="00FB6A51"/>
    <w:rsid w:val="00FC28ED"/>
    <w:rsid w:val="00FC3539"/>
    <w:rsid w:val="00FC46A2"/>
    <w:rsid w:val="00FD001E"/>
    <w:rsid w:val="00FD02A1"/>
    <w:rsid w:val="00FD3019"/>
    <w:rsid w:val="00FD3822"/>
    <w:rsid w:val="00FD4229"/>
    <w:rsid w:val="00FD5AF1"/>
    <w:rsid w:val="00FD73A5"/>
    <w:rsid w:val="00FE0025"/>
    <w:rsid w:val="00FE2098"/>
    <w:rsid w:val="00FE3054"/>
    <w:rsid w:val="00FE5927"/>
    <w:rsid w:val="00FE5DC2"/>
    <w:rsid w:val="00FE655F"/>
    <w:rsid w:val="00FF0007"/>
    <w:rsid w:val="00FF207C"/>
    <w:rsid w:val="00F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20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5920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920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92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B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20B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920B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99"/>
    <w:qFormat/>
    <w:rsid w:val="005920B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920B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20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920B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920B0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920B0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14F61"/>
    <w:pPr>
      <w:ind w:left="720"/>
      <w:contextualSpacing/>
    </w:pPr>
  </w:style>
  <w:style w:type="table" w:styleId="TableGrid">
    <w:name w:val="Table Grid"/>
    <w:basedOn w:val="TableNormal"/>
    <w:rsid w:val="007B30B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0B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muted">
    <w:name w:val="text-muted"/>
    <w:basedOn w:val="DefaultParagraphFont"/>
    <w:rsid w:val="007E4DB0"/>
  </w:style>
  <w:style w:type="paragraph" w:customStyle="1" w:styleId="Default">
    <w:name w:val="Default"/>
    <w:rsid w:val="00475A6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lau">
    <w:name w:val="blau"/>
    <w:basedOn w:val="DefaultParagraphFont"/>
    <w:rsid w:val="007E0E5A"/>
  </w:style>
  <w:style w:type="paragraph" w:customStyle="1" w:styleId="xmsonormal">
    <w:name w:val="x_msonormal"/>
    <w:basedOn w:val="Normal"/>
    <w:uiPriority w:val="99"/>
    <w:rsid w:val="004B22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undesnetzagentur.de/DE/Gasversorgung/a_Gasversorgung_2024/start.htm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alampos\AppData\Roaming\Microsoft\Templates\Single%20spaced%20(blank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Νορβηγία</c:v>
                </c:pt>
                <c:pt idx="1">
                  <c:v>Ολλανδία</c:v>
                </c:pt>
                <c:pt idx="2">
                  <c:v>Βέλγιο</c:v>
                </c:pt>
                <c:pt idx="3">
                  <c:v>LNG</c:v>
                </c:pt>
                <c:pt idx="4">
                  <c:v>Γαλλία</c:v>
                </c:pt>
                <c:pt idx="5">
                  <c:v>Ελβετία</c:v>
                </c:pt>
                <c:pt idx="6">
                  <c:v>Τσεχία</c:v>
                </c:pt>
                <c:pt idx="7">
                  <c:v>Αυστρία</c:v>
                </c:pt>
                <c:pt idx="8">
                  <c:v>Δανία</c:v>
                </c:pt>
                <c:pt idx="9">
                  <c:v>Πολωνία</c:v>
                </c:pt>
                <c:pt idx="10">
                  <c:v>Ρωσία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416431</c:v>
                </c:pt>
                <c:pt idx="1">
                  <c:v>215921</c:v>
                </c:pt>
                <c:pt idx="2">
                  <c:v>154012</c:v>
                </c:pt>
                <c:pt idx="3">
                  <c:v>68762</c:v>
                </c:pt>
                <c:pt idx="4">
                  <c:v>3264</c:v>
                </c:pt>
                <c:pt idx="5">
                  <c:v>1545</c:v>
                </c:pt>
                <c:pt idx="6">
                  <c:v>1435</c:v>
                </c:pt>
                <c:pt idx="7">
                  <c:v>1384</c:v>
                </c:pt>
                <c:pt idx="8">
                  <c:v>1066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993472"/>
        <c:axId val="47776896"/>
      </c:barChart>
      <c:catAx>
        <c:axId val="45993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47776896"/>
        <c:crosses val="autoZero"/>
        <c:auto val="1"/>
        <c:lblAlgn val="ctr"/>
        <c:lblOffset val="100"/>
        <c:noMultiLvlLbl val="0"/>
      </c:catAx>
      <c:valAx>
        <c:axId val="477768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5993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873beb7-5857-4685-be1f-d57550cc96c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677D17E-F20C-48BC-BD3A-3F414136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1204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Charalampos Papadopoulos</dc:creator>
  <cp:lastModifiedBy>OEY_Arxeio</cp:lastModifiedBy>
  <cp:revision>117</cp:revision>
  <cp:lastPrinted>2025-01-14T14:50:00Z</cp:lastPrinted>
  <dcterms:created xsi:type="dcterms:W3CDTF">2024-07-08T13:18:00Z</dcterms:created>
  <dcterms:modified xsi:type="dcterms:W3CDTF">2025-01-14T15:14:00Z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