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8538414"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B33DF1" w:rsidRDefault="00236C82" w:rsidP="0066141C">
            <w:pPr>
              <w:ind w:left="1850"/>
              <w:rPr>
                <w:b/>
              </w:rPr>
            </w:pPr>
            <w:r>
              <w:rPr>
                <w:b/>
              </w:rPr>
              <w:t>ΑΔΙΑΒΑΘΜΗΤΟ</w:t>
            </w:r>
            <w:r w:rsidR="0074232E">
              <w:rPr>
                <w:b/>
              </w:rPr>
              <w:t xml:space="preserve"> -</w:t>
            </w:r>
            <w:r w:rsidRPr="00B33DF1">
              <w:rPr>
                <w:b/>
              </w:rPr>
              <w:t>ΚΑΝΟΝΙΚΟ</w:t>
            </w:r>
          </w:p>
          <w:tbl>
            <w:tblPr>
              <w:tblW w:w="3825" w:type="dxa"/>
              <w:tblInd w:w="1730" w:type="dxa"/>
              <w:tblLayout w:type="fixed"/>
              <w:tblLook w:val="04A0"/>
            </w:tblPr>
            <w:tblGrid>
              <w:gridCol w:w="3825"/>
            </w:tblGrid>
            <w:tr w:rsidR="00236C82" w:rsidRPr="002F46C3" w:rsidTr="00782E71">
              <w:tc>
                <w:tcPr>
                  <w:tcW w:w="3827" w:type="dxa"/>
                </w:tcPr>
                <w:p w:rsidR="00236C82" w:rsidRPr="00476934" w:rsidRDefault="00236C82" w:rsidP="00BD58E5">
                  <w:r w:rsidRPr="006D231D">
                    <w:t>Βερολίνο</w:t>
                  </w:r>
                  <w:r>
                    <w:t>,</w:t>
                  </w:r>
                  <w:r w:rsidR="008E613E">
                    <w:rPr>
                      <w:lang w:val="en-GB"/>
                    </w:rPr>
                    <w:t xml:space="preserve"> </w:t>
                  </w:r>
                  <w:r w:rsidR="00C40462">
                    <w:rPr>
                      <w:lang w:val="en-GB"/>
                    </w:rPr>
                    <w:t xml:space="preserve"> 29 </w:t>
                  </w:r>
                  <w:r w:rsidR="00823F3B">
                    <w:t xml:space="preserve">Μαρτίου </w:t>
                  </w:r>
                  <w:r w:rsidR="00476934">
                    <w:t>2021</w:t>
                  </w:r>
                </w:p>
              </w:tc>
            </w:tr>
            <w:tr w:rsidR="00236C82" w:rsidRPr="002F46C3" w:rsidTr="00814FFD">
              <w:trPr>
                <w:trHeight w:val="80"/>
              </w:trPr>
              <w:tc>
                <w:tcPr>
                  <w:tcW w:w="3827" w:type="dxa"/>
                </w:tcPr>
                <w:p w:rsidR="00496425" w:rsidRPr="00C40462" w:rsidRDefault="006960A0" w:rsidP="00BD58E5">
                  <w:pPr>
                    <w:rPr>
                      <w:lang w:val="en-GB"/>
                    </w:rPr>
                  </w:pPr>
                  <w:r>
                    <w:t>Α.Π.:</w:t>
                  </w:r>
                  <w:r w:rsidR="00C84BA2">
                    <w:t xml:space="preserve"> </w:t>
                  </w:r>
                  <w:r w:rsidR="00610ADC">
                    <w:t xml:space="preserve"> </w:t>
                  </w:r>
                  <w:r w:rsidR="00295590">
                    <w:t>757</w:t>
                  </w:r>
                </w:p>
              </w:tc>
            </w:tr>
          </w:tbl>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F54BB1">
        <w:tc>
          <w:tcPr>
            <w:tcW w:w="1107" w:type="dxa"/>
            <w:hideMark/>
          </w:tcPr>
          <w:p w:rsidR="001F7E1F" w:rsidRDefault="001F7E1F" w:rsidP="00495804">
            <w:pPr>
              <w:tabs>
                <w:tab w:val="left" w:pos="559"/>
              </w:tabs>
              <w:jc w:val="right"/>
              <w:rPr>
                <w:b/>
                <w:bCs/>
              </w:rPr>
            </w:pPr>
            <w:r>
              <w:rPr>
                <w:b/>
                <w:bCs/>
              </w:rPr>
              <w:t>ΠΡΟΣ:</w:t>
            </w:r>
          </w:p>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r>
              <w:rPr>
                <w:bCs/>
              </w:rPr>
              <w:t>-</w:t>
            </w:r>
          </w:p>
        </w:tc>
        <w:tc>
          <w:tcPr>
            <w:tcW w:w="5999" w:type="dxa"/>
            <w:hideMark/>
          </w:tcPr>
          <w:p w:rsidR="001F7E1F" w:rsidRPr="00F322F7" w:rsidRDefault="00851415" w:rsidP="00495804">
            <w:pPr>
              <w:rPr>
                <w:b/>
              </w:rPr>
            </w:pPr>
            <w:r>
              <w:rPr>
                <w:b/>
              </w:rPr>
              <w:t xml:space="preserve">Υπουργείο Εξωτερικών </w:t>
            </w:r>
          </w:p>
          <w:p w:rsidR="001F7E1F" w:rsidRPr="00B92D55" w:rsidRDefault="005A3619" w:rsidP="00495804">
            <w:r>
              <w:t>Β</w:t>
            </w:r>
            <w:r w:rsidR="008A3CC4">
              <w:t xml:space="preserve">8 </w:t>
            </w:r>
            <w:r w:rsidR="00B92D55">
              <w:t xml:space="preserve">Διεύθυνση </w:t>
            </w:r>
          </w:p>
          <w:p w:rsidR="001F7E1F" w:rsidRPr="00F16EB2" w:rsidRDefault="001F7E1F" w:rsidP="00495804">
            <w:pPr>
              <w:rPr>
                <w:sz w:val="12"/>
              </w:rPr>
            </w:pPr>
          </w:p>
        </w:tc>
      </w:tr>
      <w:tr w:rsidR="001F7E1F" w:rsidRPr="00A27916" w:rsidTr="00F54BB1">
        <w:tc>
          <w:tcPr>
            <w:tcW w:w="1107" w:type="dxa"/>
            <w:hideMark/>
          </w:tcPr>
          <w:p w:rsidR="001F7E1F" w:rsidRDefault="001F7E1F" w:rsidP="00495804">
            <w:pPr>
              <w:jc w:val="right"/>
              <w:rPr>
                <w:b/>
                <w:bCs/>
              </w:rPr>
            </w:pPr>
            <w:r>
              <w:rPr>
                <w:b/>
                <w:bCs/>
              </w:rPr>
              <w:t>ΚΟΙΝ.:</w:t>
            </w:r>
          </w:p>
          <w:p w:rsidR="001F7E1F" w:rsidRDefault="001F7E1F" w:rsidP="00495804">
            <w:pPr>
              <w:jc w:val="right"/>
              <w:rPr>
                <w:b/>
                <w:bCs/>
              </w:rPr>
            </w:pPr>
          </w:p>
        </w:tc>
        <w:tc>
          <w:tcPr>
            <w:tcW w:w="407" w:type="dxa"/>
            <w:hideMark/>
          </w:tcPr>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235"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0A0" w:rsidRDefault="001F7E1F" w:rsidP="00495804">
            <w:pPr>
              <w:jc w:val="both"/>
              <w:rPr>
                <w:bCs/>
              </w:rPr>
            </w:pPr>
          </w:p>
        </w:tc>
        <w:tc>
          <w:tcPr>
            <w:tcW w:w="5999" w:type="dxa"/>
            <w:hideMark/>
          </w:tcPr>
          <w:p w:rsidR="001F7E1F" w:rsidRDefault="00E92075" w:rsidP="00495804">
            <w:pPr>
              <w:jc w:val="both"/>
              <w:rPr>
                <w:bCs/>
              </w:rPr>
            </w:pPr>
            <w:proofErr w:type="spellStart"/>
            <w:r>
              <w:rPr>
                <w:bCs/>
              </w:rPr>
              <w:t>Διπλ</w:t>
            </w:r>
            <w:proofErr w:type="spellEnd"/>
            <w:r>
              <w:rPr>
                <w:bCs/>
              </w:rPr>
              <w:t xml:space="preserve">. Γραφείο κ. Πρωθυπουργού </w:t>
            </w:r>
          </w:p>
          <w:p w:rsidR="001F7E1F" w:rsidRDefault="001F7E1F" w:rsidP="00495804">
            <w:pPr>
              <w:jc w:val="both"/>
              <w:rPr>
                <w:bCs/>
              </w:rPr>
            </w:pPr>
            <w:proofErr w:type="spellStart"/>
            <w:r>
              <w:rPr>
                <w:bCs/>
              </w:rPr>
              <w:t>Διπλ</w:t>
            </w:r>
            <w:proofErr w:type="spellEnd"/>
            <w:r>
              <w:rPr>
                <w:bCs/>
              </w:rPr>
              <w:t>. Γρ</w:t>
            </w:r>
            <w:r w:rsidR="00E92075">
              <w:rPr>
                <w:bCs/>
              </w:rPr>
              <w:t xml:space="preserve">αφείο κ. Υπουργού </w:t>
            </w:r>
          </w:p>
          <w:p w:rsidR="001F7E1F" w:rsidRDefault="001F7E1F" w:rsidP="00495804">
            <w:pPr>
              <w:jc w:val="both"/>
              <w:rPr>
                <w:bCs/>
              </w:rPr>
            </w:pPr>
            <w:proofErr w:type="spellStart"/>
            <w:r>
              <w:rPr>
                <w:bCs/>
              </w:rPr>
              <w:t>Διπλ</w:t>
            </w:r>
            <w:proofErr w:type="spellEnd"/>
            <w:r>
              <w:rPr>
                <w:bCs/>
              </w:rPr>
              <w:t>. Γραφείο κ. ΑΝΥΠΕΞ</w:t>
            </w:r>
          </w:p>
          <w:p w:rsidR="001F7E1F" w:rsidRDefault="001F7E1F" w:rsidP="00495804">
            <w:pPr>
              <w:jc w:val="both"/>
              <w:rPr>
                <w:bCs/>
              </w:rPr>
            </w:pPr>
            <w:proofErr w:type="spellStart"/>
            <w:r>
              <w:rPr>
                <w:bCs/>
              </w:rPr>
              <w:t>Διπλ</w:t>
            </w:r>
            <w:proofErr w:type="spellEnd"/>
            <w:r>
              <w:rPr>
                <w:bCs/>
              </w:rPr>
              <w:t>. Γραφείο ΥΦΥΠΕΞ κ. Φραγκογιάννη</w:t>
            </w:r>
          </w:p>
          <w:p w:rsidR="001F7E1F" w:rsidRPr="0049673A" w:rsidRDefault="001F7E1F" w:rsidP="00495804">
            <w:pPr>
              <w:jc w:val="both"/>
              <w:rPr>
                <w:bCs/>
              </w:rPr>
            </w:pPr>
            <w:proofErr w:type="spellStart"/>
            <w:r>
              <w:rPr>
                <w:bCs/>
              </w:rPr>
              <w:t>Γραφ</w:t>
            </w:r>
            <w:proofErr w:type="spellEnd"/>
            <w:r>
              <w:rPr>
                <w:bCs/>
              </w:rPr>
              <w:t>. κ. Γεν. Γραμματέα</w:t>
            </w:r>
          </w:p>
          <w:p w:rsidR="001F7E1F" w:rsidRDefault="001F7E1F" w:rsidP="00495804">
            <w:pPr>
              <w:jc w:val="both"/>
            </w:pPr>
            <w:proofErr w:type="spellStart"/>
            <w:r>
              <w:rPr>
                <w:bCs/>
              </w:rPr>
              <w:t>Γραφ</w:t>
            </w:r>
            <w:proofErr w:type="spellEnd"/>
            <w:r>
              <w:rPr>
                <w:bCs/>
              </w:rPr>
              <w:t>. κ. Γεν. Γραμματέα ΔΟΣ &amp;</w:t>
            </w:r>
            <w:r w:rsidRPr="00F322F7">
              <w:rPr>
                <w:bCs/>
              </w:rPr>
              <w:t>Εξωστρ</w:t>
            </w:r>
            <w:r>
              <w:rPr>
                <w:bCs/>
              </w:rPr>
              <w:t>έφειας</w:t>
            </w:r>
          </w:p>
          <w:p w:rsidR="001F7E1F" w:rsidRDefault="00640264" w:rsidP="00495804">
            <w:pPr>
              <w:jc w:val="both"/>
            </w:pPr>
            <w:r>
              <w:t xml:space="preserve">κα Β’ Γενική Διευθύντρια </w:t>
            </w:r>
            <w:r w:rsidR="004B2C4D">
              <w:t xml:space="preserve"> </w:t>
            </w:r>
          </w:p>
          <w:p w:rsidR="006060EC" w:rsidRPr="006060EC" w:rsidRDefault="003D0652" w:rsidP="00495804">
            <w:pPr>
              <w:jc w:val="both"/>
            </w:pPr>
            <w:r>
              <w:t xml:space="preserve">Β1 &amp; </w:t>
            </w:r>
            <w:r w:rsidR="005D3F86">
              <w:t>Β</w:t>
            </w:r>
            <w:r w:rsidR="008A3CC4">
              <w:t xml:space="preserve">4 </w:t>
            </w:r>
            <w:r w:rsidR="00463B87">
              <w:t xml:space="preserve">Διευθύνσεις </w:t>
            </w:r>
          </w:p>
          <w:p w:rsidR="00463B87" w:rsidRPr="00B92D55" w:rsidRDefault="001F7E1F" w:rsidP="001D54A9">
            <w:r>
              <w:t xml:space="preserve">Γραφεία ΟΕΥ Μονάχου, </w:t>
            </w:r>
            <w:proofErr w:type="spellStart"/>
            <w:r>
              <w:t>Ντύσσελντο</w:t>
            </w:r>
            <w:r w:rsidR="00C22A38">
              <w:t>ρφ</w:t>
            </w:r>
            <w:proofErr w:type="spellEnd"/>
            <w:r w:rsidR="00C22A38">
              <w:t xml:space="preserve"> (μέσω ημών</w:t>
            </w:r>
            <w:r w:rsidR="00E74D7E">
              <w:t>)</w:t>
            </w:r>
          </w:p>
          <w:p w:rsidR="005D3F86" w:rsidRPr="00B92D55" w:rsidRDefault="005D3F86" w:rsidP="001D54A9"/>
          <w:p w:rsidR="005D3F86" w:rsidRDefault="005D3F86" w:rsidP="001D54A9">
            <w:r>
              <w:rPr>
                <w:lang w:val="en-GB"/>
              </w:rPr>
              <w:t>K</w:t>
            </w:r>
            <w:proofErr w:type="spellStart"/>
            <w:r>
              <w:t>εντρική</w:t>
            </w:r>
            <w:proofErr w:type="spellEnd"/>
            <w:r>
              <w:t xml:space="preserve"> </w:t>
            </w:r>
            <w:proofErr w:type="spellStart"/>
            <w:r>
              <w:t>Ενωση</w:t>
            </w:r>
            <w:proofErr w:type="spellEnd"/>
            <w:r>
              <w:t xml:space="preserve"> Επιμελητηρίων Ελλάδος (μέσω ημών)</w:t>
            </w:r>
          </w:p>
          <w:p w:rsidR="005D3F86" w:rsidRDefault="005D3F86" w:rsidP="001D54A9">
            <w:r>
              <w:t>Εμπορικό και Βιομηχανικό Επιμελητήριο Αθηνών (</w:t>
            </w:r>
            <w:proofErr w:type="spellStart"/>
            <w:r>
              <w:t>μ.η</w:t>
            </w:r>
            <w:proofErr w:type="spellEnd"/>
            <w:r>
              <w:t>.)</w:t>
            </w:r>
          </w:p>
          <w:p w:rsidR="005D3F86" w:rsidRDefault="005D3F86" w:rsidP="001D54A9">
            <w:r>
              <w:t>Εμπορικό και Βιομηχανικό Επιμελητήριο Θες/νίκης (</w:t>
            </w:r>
            <w:proofErr w:type="spellStart"/>
            <w:r>
              <w:t>μ.η</w:t>
            </w:r>
            <w:proofErr w:type="spellEnd"/>
            <w:r>
              <w:t>.)</w:t>
            </w:r>
          </w:p>
          <w:p w:rsidR="005D3F86" w:rsidRDefault="005D3F86" w:rsidP="001D54A9">
            <w:r>
              <w:t>Εμπορικό και Βιομηχανικό Επιμελητήριο Πειραιώς (</w:t>
            </w:r>
            <w:proofErr w:type="spellStart"/>
            <w:r>
              <w:t>μ.η</w:t>
            </w:r>
            <w:proofErr w:type="spellEnd"/>
            <w:r>
              <w:t>.)</w:t>
            </w:r>
          </w:p>
          <w:p w:rsidR="005D3F86" w:rsidRDefault="005D3F86" w:rsidP="001D54A9">
            <w:r>
              <w:t>Βιοτεχνικό Επιμελητήριο Αθηνών (μέσω ημών)</w:t>
            </w:r>
          </w:p>
          <w:p w:rsidR="005D3F86" w:rsidRPr="00B92D55" w:rsidRDefault="005D3F86" w:rsidP="001D54A9">
            <w:r>
              <w:t>Βιοτεχνικό Επιμελ</w:t>
            </w:r>
            <w:r w:rsidR="00B92D55">
              <w:t>ητήριο Θεσσαλονίκης (μέσω ημών)</w:t>
            </w:r>
          </w:p>
          <w:p w:rsidR="005D3F86" w:rsidRDefault="005D3F86" w:rsidP="001D54A9">
            <w:r>
              <w:t>Βιοτεχνικό Επιμελητήριο Πειραιώς (μέσω ημών)</w:t>
            </w:r>
          </w:p>
          <w:p w:rsidR="005D3F86" w:rsidRDefault="005D3F86" w:rsidP="001D54A9">
            <w:r>
              <w:t>Πανελλήνιο Σύνδεσμο Εξαγωγέων (ΠΣΕ) (μέσω ημών)</w:t>
            </w:r>
          </w:p>
          <w:p w:rsidR="005D3F86" w:rsidRDefault="005D3F86" w:rsidP="001D54A9">
            <w:r>
              <w:t>Σύνδεσμο Εξαγωγέων Βορείου Ελλάδος (ΣΕΒΕ) (</w:t>
            </w:r>
            <w:proofErr w:type="spellStart"/>
            <w:r>
              <w:t>μ.ημών</w:t>
            </w:r>
            <w:proofErr w:type="spellEnd"/>
            <w:r>
              <w:t>)</w:t>
            </w:r>
          </w:p>
          <w:p w:rsidR="005D3F86" w:rsidRPr="005D3F86" w:rsidRDefault="005D3F86" w:rsidP="001D54A9">
            <w:r>
              <w:t>Σύνδεσμο Εξαγωγέων Κρήτης (ΣΕΚ) (μέσω ημών)</w:t>
            </w:r>
          </w:p>
          <w:p w:rsidR="00C22A38" w:rsidRPr="00C22A38" w:rsidRDefault="00C22A38" w:rsidP="001D54A9">
            <w:r>
              <w:t xml:space="preserve"> </w:t>
            </w:r>
          </w:p>
        </w:tc>
      </w:tr>
      <w:tr w:rsidR="00236C82" w:rsidRPr="00A27916" w:rsidTr="00F54BB1">
        <w:tc>
          <w:tcPr>
            <w:tcW w:w="1107" w:type="dxa"/>
            <w:hideMark/>
          </w:tcPr>
          <w:p w:rsidR="00236C82" w:rsidRDefault="00236C82" w:rsidP="0066141C">
            <w:pPr>
              <w:jc w:val="right"/>
              <w:rPr>
                <w:b/>
                <w:bCs/>
              </w:rPr>
            </w:pPr>
            <w:r>
              <w:rPr>
                <w:b/>
                <w:bCs/>
              </w:rPr>
              <w:t>Ε.Δ.:</w:t>
            </w:r>
          </w:p>
        </w:tc>
        <w:tc>
          <w:tcPr>
            <w:tcW w:w="407" w:type="dxa"/>
            <w:hideMark/>
          </w:tcPr>
          <w:p w:rsidR="00236C82" w:rsidRDefault="00236C82" w:rsidP="00782E71">
            <w:pPr>
              <w:jc w:val="both"/>
              <w:rPr>
                <w:bCs/>
              </w:rPr>
            </w:pPr>
            <w:r>
              <w:rPr>
                <w:bCs/>
              </w:rPr>
              <w:t>-</w:t>
            </w:r>
          </w:p>
        </w:tc>
        <w:tc>
          <w:tcPr>
            <w:tcW w:w="5999" w:type="dxa"/>
          </w:tcPr>
          <w:p w:rsidR="00236C82" w:rsidRDefault="00236C82" w:rsidP="00782E71">
            <w:pPr>
              <w:jc w:val="both"/>
              <w:rPr>
                <w:bCs/>
              </w:rPr>
            </w:pPr>
            <w:r>
              <w:rPr>
                <w:bCs/>
              </w:rPr>
              <w:t xml:space="preserve">Γραφείο κ. </w:t>
            </w:r>
            <w:proofErr w:type="spellStart"/>
            <w:r>
              <w:rPr>
                <w:bCs/>
              </w:rPr>
              <w:t>Πρέσβεως</w:t>
            </w:r>
            <w:proofErr w:type="spellEnd"/>
          </w:p>
        </w:tc>
      </w:tr>
    </w:tbl>
    <w:p w:rsidR="009F6DA0" w:rsidRDefault="009F6DA0" w:rsidP="00236C82">
      <w:pPr>
        <w:ind w:right="-694"/>
        <w:jc w:val="both"/>
        <w:rPr>
          <w:bCs/>
          <w:sz w:val="16"/>
          <w:szCs w:val="28"/>
        </w:rPr>
      </w:pPr>
    </w:p>
    <w:p w:rsidR="009F6DA0" w:rsidRPr="00F16EB2" w:rsidRDefault="009F6DA0" w:rsidP="00236C82">
      <w:pPr>
        <w:ind w:right="-694"/>
        <w:jc w:val="both"/>
        <w:rPr>
          <w:bCs/>
          <w:sz w:val="16"/>
          <w:szCs w:val="28"/>
        </w:rPr>
      </w:pPr>
    </w:p>
    <w:tbl>
      <w:tblPr>
        <w:tblW w:w="9251" w:type="dxa"/>
        <w:tblInd w:w="-212" w:type="dxa"/>
        <w:tblLook w:val="01E0"/>
      </w:tblPr>
      <w:tblGrid>
        <w:gridCol w:w="8946"/>
        <w:gridCol w:w="305"/>
      </w:tblGrid>
      <w:tr w:rsidR="00273E08" w:rsidRPr="000345B7" w:rsidTr="00273E08">
        <w:tc>
          <w:tcPr>
            <w:tcW w:w="9251" w:type="dxa"/>
            <w:gridSpan w:val="2"/>
            <w:hideMark/>
          </w:tcPr>
          <w:p w:rsidR="005D3F86" w:rsidRDefault="00273E08" w:rsidP="00823F3B">
            <w:pPr>
              <w:jc w:val="both"/>
              <w:rPr>
                <w:b/>
                <w:bCs/>
              </w:rPr>
            </w:pPr>
            <w:r w:rsidRPr="000345B7">
              <w:rPr>
                <w:b/>
                <w:bCs/>
              </w:rPr>
              <w:t>ΘΕΜΑ:</w:t>
            </w:r>
            <w:r w:rsidR="00C40462">
              <w:rPr>
                <w:b/>
                <w:bCs/>
              </w:rPr>
              <w:t xml:space="preserve"> «Αύξηση των Δεικτών Επιχειρηματικού Κλίματος και των Εξαγωγών – Ινστιτούτο Οικονομικών Ερευνών</w:t>
            </w:r>
            <w:r w:rsidR="00F40D1D">
              <w:rPr>
                <w:b/>
                <w:bCs/>
              </w:rPr>
              <w:t>»</w:t>
            </w:r>
          </w:p>
          <w:p w:rsidR="005C1853" w:rsidRDefault="005C1853" w:rsidP="005C1853">
            <w:pPr>
              <w:jc w:val="both"/>
              <w:rPr>
                <w:b/>
                <w:bCs/>
              </w:rPr>
            </w:pPr>
          </w:p>
          <w:p w:rsidR="00C40462" w:rsidRPr="005C1853" w:rsidRDefault="005C1853" w:rsidP="005C1853">
            <w:pPr>
              <w:jc w:val="both"/>
              <w:rPr>
                <w:bCs/>
              </w:rPr>
            </w:pPr>
            <w:r w:rsidRPr="00295590">
              <w:rPr>
                <w:b/>
                <w:bCs/>
              </w:rPr>
              <w:t>1.</w:t>
            </w:r>
            <w:r w:rsidR="00C40462" w:rsidRPr="00295590">
              <w:rPr>
                <w:b/>
                <w:bCs/>
              </w:rPr>
              <w:t>Σημαντική αύξηση παρουσιάζει, για τον τρέχοντα μήνα Μάρτιο, ο Δείκτης Επιχειρηματικού Κλίματος καθώς και ο αντίστοιχος Δείκτης των Εξαγωγών.</w:t>
            </w:r>
            <w:r w:rsidR="00C40462" w:rsidRPr="005C1853">
              <w:rPr>
                <w:bCs/>
              </w:rPr>
              <w:t xml:space="preserve"> Σύμφωνα με αναλυτικά στοιχεία που δημοσιεύει στο μηνιαίο δελτίο του για τον κόσμο των επιχειρήσεων το Ινστιτούτο Οικονομικών Ερευνών η ψυχολ</w:t>
            </w:r>
            <w:r w:rsidR="00295590">
              <w:rPr>
                <w:bCs/>
              </w:rPr>
              <w:t xml:space="preserve">ογία στο επιχειρηματικό περιβάλλον </w:t>
            </w:r>
            <w:r w:rsidR="00C40462" w:rsidRPr="005C1853">
              <w:rPr>
                <w:bCs/>
              </w:rPr>
              <w:t>αρχίζει σταδιακά να αλλάζει και οι εκτιμήσεις για το άμεσο και το προσεχές μέλλον να είναι αισθητά πολύ βελτιωμένες.</w:t>
            </w:r>
          </w:p>
          <w:p w:rsidR="00C40462" w:rsidRDefault="00C40462" w:rsidP="00823F3B">
            <w:pPr>
              <w:jc w:val="both"/>
              <w:rPr>
                <w:bCs/>
              </w:rPr>
            </w:pPr>
          </w:p>
          <w:p w:rsidR="00B23DE4" w:rsidRDefault="00C40462" w:rsidP="00823F3B">
            <w:pPr>
              <w:jc w:val="both"/>
              <w:rPr>
                <w:bCs/>
              </w:rPr>
            </w:pPr>
            <w:r>
              <w:rPr>
                <w:bCs/>
              </w:rPr>
              <w:t xml:space="preserve">Πιο αναλυτικά ο Δείκτης Επιχειρηματικού Κλίματος αυξήθηκε από 92,7 μονάδες τον περασμένο Φεβρουάριο σε 96,6 μονάδες τον τρέχοντα μήνα Μάρτιο, με αποτέλεσμα τα </w:t>
            </w:r>
            <w:r w:rsidR="00B23DE4">
              <w:rPr>
                <w:bCs/>
              </w:rPr>
              <w:t xml:space="preserve">συναισθήματα που επικρατούν στο περιβάλλον των ανώτερων και ανώτατων διευθυντικών στελεχών να είναι πολύ θετικά. Οι περισσότερες των επιχειρήσεων δηλώνουν ότι είναι πολύ ικανοποιημένες με την τρέχουσα κατάσταση που επικρατεί και το γενικότερο επιχειρηματικό κλίμα. Δεν είναι άκαιρο να υποστηριχθεί ότι, παρόλη την αύξηση των μολύνσεων από τον </w:t>
            </w:r>
            <w:proofErr w:type="spellStart"/>
            <w:r w:rsidR="00B23DE4">
              <w:rPr>
                <w:bCs/>
              </w:rPr>
              <w:t>κορονωϊό</w:t>
            </w:r>
            <w:proofErr w:type="spellEnd"/>
            <w:r w:rsidR="00B23DE4">
              <w:rPr>
                <w:bCs/>
              </w:rPr>
              <w:t xml:space="preserve"> και την συνεχιζόμενη πανδημία, η γ/οικονομία εισέρχεται στην άνοιξη με περισσότερη αυτοπεποίθηση και θετικά μηνύματα για τους</w:t>
            </w:r>
            <w:r w:rsidR="00295590">
              <w:rPr>
                <w:bCs/>
              </w:rPr>
              <w:t xml:space="preserve"> επόμενους </w:t>
            </w:r>
            <w:r w:rsidR="00B23DE4">
              <w:rPr>
                <w:bCs/>
              </w:rPr>
              <w:t>μήνες.</w:t>
            </w:r>
            <w:r w:rsidR="00295590">
              <w:rPr>
                <w:bCs/>
              </w:rPr>
              <w:t xml:space="preserve"> </w:t>
            </w:r>
            <w:r w:rsidR="00B23DE4">
              <w:rPr>
                <w:bCs/>
              </w:rPr>
              <w:t xml:space="preserve">Στην </w:t>
            </w:r>
            <w:r w:rsidR="00B23DE4">
              <w:rPr>
                <w:bCs/>
              </w:rPr>
              <w:lastRenderedPageBreak/>
              <w:t xml:space="preserve">βιομηχανία το επιχειρηματικό κλίμα εξακολουθεί να ανακάμπτει με τις περισσότερες των επιχειρήσεων να δηλώνουν ικανοποιημένες με τις τρέχουσες δραστηριότητές τους. Οι προσδοκίες τους είναι ακόμη υψηλότερες από εκείνες του Νοεμβρίου 2010 με την ζήτηση να παρουσιάζει συνεχώς αυξητικές τάσεις. </w:t>
            </w:r>
          </w:p>
          <w:p w:rsidR="00B23DE4" w:rsidRDefault="00B23DE4" w:rsidP="00823F3B">
            <w:pPr>
              <w:jc w:val="both"/>
              <w:rPr>
                <w:bCs/>
              </w:rPr>
            </w:pPr>
          </w:p>
          <w:p w:rsidR="00B23DE4" w:rsidRDefault="00B23DE4" w:rsidP="00823F3B">
            <w:pPr>
              <w:jc w:val="both"/>
              <w:rPr>
                <w:bCs/>
              </w:rPr>
            </w:pPr>
            <w:r>
              <w:rPr>
                <w:bCs/>
              </w:rPr>
              <w:t>Στις υπηρεσίες ο Δείκτης Επιχειρηματικού Κλίματος αυξάνεται επίσης σημαντικά. Για τους τομείς των υπηρεσιών πληροφορικής η αύξηση της δραστηριότητας των επιχειρήσεων είναι αρκετά σημαντική, ενώ ο κλάδος του τουρισμού, ξενοδοχεία και εστιατόρια εξακολουθούν να βρίσκονται σε «χαμηλό βαρομετρικό» και να καταγράφουν πολύ αρνητικ</w:t>
            </w:r>
            <w:r w:rsidR="00295590">
              <w:rPr>
                <w:bCs/>
              </w:rPr>
              <w:t>ές επιδόσεις.</w:t>
            </w:r>
          </w:p>
          <w:p w:rsidR="005C1853" w:rsidRDefault="005C1853" w:rsidP="00823F3B">
            <w:pPr>
              <w:jc w:val="both"/>
              <w:rPr>
                <w:bCs/>
              </w:rPr>
            </w:pPr>
          </w:p>
          <w:p w:rsidR="005C1853" w:rsidRDefault="005C1853" w:rsidP="00823F3B">
            <w:pPr>
              <w:jc w:val="both"/>
              <w:rPr>
                <w:bCs/>
              </w:rPr>
            </w:pPr>
            <w:r>
              <w:rPr>
                <w:bCs/>
              </w:rPr>
              <w:t xml:space="preserve">Στο εμπόριο ο αντίστοιχος Δείκτης σημειώνει επίσης αυξητικές τάσεις. Στο λιανικό εμπόριο, ωστόσο, η κατάσταση εξακολουθεί να είναι κακή, αν και παρουσιάζει ελαφρά ανάκαμψη συγκριτικά προς τον περασμένο μήνα. </w:t>
            </w:r>
            <w:r>
              <w:rPr>
                <w:bCs/>
                <w:sz w:val="22"/>
              </w:rPr>
              <w:t xml:space="preserve">Θετικές </w:t>
            </w:r>
            <w:r w:rsidRPr="005C1853">
              <w:rPr>
                <w:bCs/>
              </w:rPr>
              <w:t xml:space="preserve">προσδοκίες εμφανίζουν τα </w:t>
            </w:r>
            <w:r w:rsidRPr="005C1853">
              <w:rPr>
                <w:bCs/>
                <w:lang w:val="de-DE"/>
              </w:rPr>
              <w:t>Super</w:t>
            </w:r>
            <w:r w:rsidRPr="005C1853">
              <w:rPr>
                <w:bCs/>
              </w:rPr>
              <w:t>-</w:t>
            </w:r>
            <w:proofErr w:type="spellStart"/>
            <w:r w:rsidRPr="005C1853">
              <w:rPr>
                <w:bCs/>
                <w:lang w:val="de-DE"/>
              </w:rPr>
              <w:t>Markets</w:t>
            </w:r>
            <w:proofErr w:type="spellEnd"/>
            <w:r w:rsidR="00295590">
              <w:rPr>
                <w:bCs/>
              </w:rPr>
              <w:t>, οι έμποροι υ</w:t>
            </w:r>
            <w:r w:rsidRPr="005C1853">
              <w:rPr>
                <w:bCs/>
              </w:rPr>
              <w:t xml:space="preserve">ποδημάτων και τα ανθοπωλεία. </w:t>
            </w:r>
          </w:p>
          <w:p w:rsidR="005C1853" w:rsidRDefault="005C1853" w:rsidP="00823F3B">
            <w:pPr>
              <w:jc w:val="both"/>
              <w:rPr>
                <w:bCs/>
              </w:rPr>
            </w:pPr>
          </w:p>
          <w:p w:rsidR="005C1853" w:rsidRDefault="005C1853" w:rsidP="00823F3B">
            <w:pPr>
              <w:jc w:val="both"/>
              <w:rPr>
                <w:bCs/>
              </w:rPr>
            </w:pPr>
            <w:r>
              <w:rPr>
                <w:bCs/>
              </w:rPr>
              <w:t xml:space="preserve">Στις κατασκευές ο αντίστοιχος Δείκτης επιστρέφει σε θετικά πρόσημα.  Ο Δείκτης παρουσίασε την υψηλότερη αύξηση εντός ενός έτους. </w:t>
            </w:r>
          </w:p>
          <w:p w:rsidR="005C1853" w:rsidRDefault="005C1853" w:rsidP="00823F3B">
            <w:pPr>
              <w:jc w:val="both"/>
              <w:rPr>
                <w:bCs/>
              </w:rPr>
            </w:pPr>
          </w:p>
          <w:p w:rsidR="005C1853" w:rsidRPr="00295590" w:rsidRDefault="005C1853" w:rsidP="00823F3B">
            <w:pPr>
              <w:jc w:val="both"/>
              <w:rPr>
                <w:b/>
                <w:bCs/>
              </w:rPr>
            </w:pPr>
            <w:r w:rsidRPr="00295590">
              <w:rPr>
                <w:b/>
                <w:bCs/>
              </w:rPr>
              <w:t xml:space="preserve">2.Αύξηση του Δείκτη των Εξαγωγών </w:t>
            </w:r>
          </w:p>
          <w:p w:rsidR="005C1853" w:rsidRDefault="005C1853" w:rsidP="00823F3B">
            <w:pPr>
              <w:jc w:val="both"/>
              <w:rPr>
                <w:bCs/>
              </w:rPr>
            </w:pPr>
          </w:p>
          <w:p w:rsidR="005C1853" w:rsidRDefault="005C1853" w:rsidP="00823F3B">
            <w:pPr>
              <w:jc w:val="both"/>
              <w:rPr>
                <w:bCs/>
              </w:rPr>
            </w:pPr>
            <w:r>
              <w:rPr>
                <w:bCs/>
              </w:rPr>
              <w:t xml:space="preserve">Αισθήματα μεγάλων προσδοκιών καταγράφονται στην γ/επιχειρηματική κοινότητα και ειδικότερα αυτή των εξαγωγικών επιχειρήσεων. Μόλις τον τρέχοντα μήνα Μάρτιο </w:t>
            </w:r>
            <w:r w:rsidR="00C31DF5">
              <w:rPr>
                <w:bCs/>
              </w:rPr>
              <w:t>οι εξαγωγές στους τομείς της βιομηχανίας και της μεταποίησης αυξήθηκαν σημαντικά, από 11,9 μονάδες σε 24,9 μονάδ</w:t>
            </w:r>
            <w:r w:rsidR="00FB3194">
              <w:rPr>
                <w:bCs/>
              </w:rPr>
              <w:t>ες, σχεδόν δηλαδή διπλασιάσθηκα</w:t>
            </w:r>
            <w:r w:rsidR="00295590">
              <w:rPr>
                <w:bCs/>
              </w:rPr>
              <w:t xml:space="preserve">ν. </w:t>
            </w:r>
            <w:r w:rsidR="00FB3194">
              <w:rPr>
                <w:bCs/>
              </w:rPr>
              <w:t xml:space="preserve">Η βιομηχανία ηλεκτρικών και ηλεκτρονικών ειδών ελπίζουν σε σημαντική αύξηση των νέων παραγγελιών από το εξωτερικό. Οι τομείς των μηχανημάτων, του μηχανολογικού εξοπλισμού και της αυτοκινητοβιομηχανίας καταγράφουν επίσης πολύ υψηλά ποσοστά με τον σχετικό δείκτη να αυξάνεται σε ποσοστά ίσα με εκείνα του Νοεμβρίου 2017. </w:t>
            </w:r>
          </w:p>
          <w:p w:rsidR="00FB3194" w:rsidRDefault="00FB3194" w:rsidP="00823F3B">
            <w:pPr>
              <w:jc w:val="both"/>
              <w:rPr>
                <w:bCs/>
              </w:rPr>
            </w:pPr>
          </w:p>
          <w:p w:rsidR="00FB3194" w:rsidRDefault="00FB3194" w:rsidP="00823F3B">
            <w:pPr>
              <w:jc w:val="both"/>
              <w:rPr>
                <w:bCs/>
              </w:rPr>
            </w:pPr>
            <w:r>
              <w:rPr>
                <w:bCs/>
              </w:rPr>
              <w:t xml:space="preserve">Τέλος, όσον αφορά τον τομέα της </w:t>
            </w:r>
            <w:proofErr w:type="spellStart"/>
            <w:r>
              <w:rPr>
                <w:bCs/>
              </w:rPr>
              <w:t>επιπλοβιομηχανίας</w:t>
            </w:r>
            <w:proofErr w:type="spellEnd"/>
            <w:r>
              <w:rPr>
                <w:bCs/>
              </w:rPr>
              <w:t xml:space="preserve"> παρατηρείται μία χαμηλή, αλλά σταδιακή, αύξηση του σχετικού Δείκτη με κάποιες παραγγελίες να φθάνουν απ</w:t>
            </w:r>
            <w:r w:rsidR="00295590">
              <w:rPr>
                <w:bCs/>
              </w:rPr>
              <w:t xml:space="preserve">ό το εξωτερικό, ενώ αντίθετα για τον τομείς ένδυσης και υπόδησης η κατάσταση φαίνεται να μην βελτιώνεται και να παρατηρείται συνεχής μείωση των πωλήσεων. </w:t>
            </w:r>
          </w:p>
          <w:p w:rsidR="005C1853" w:rsidRDefault="005C1853" w:rsidP="00823F3B">
            <w:pPr>
              <w:jc w:val="both"/>
              <w:rPr>
                <w:bCs/>
              </w:rPr>
            </w:pPr>
          </w:p>
          <w:p w:rsidR="00266FDE" w:rsidRDefault="00266FDE" w:rsidP="00251444">
            <w:pPr>
              <w:jc w:val="both"/>
              <w:rPr>
                <w:b/>
                <w:bCs/>
              </w:rPr>
            </w:pPr>
          </w:p>
          <w:p w:rsidR="00266FDE" w:rsidRDefault="00266FDE" w:rsidP="00251444">
            <w:pPr>
              <w:jc w:val="both"/>
              <w:rPr>
                <w:b/>
                <w:bCs/>
              </w:rPr>
            </w:pPr>
          </w:p>
          <w:p w:rsidR="00E74D7E" w:rsidRDefault="00C22A38" w:rsidP="00251444">
            <w:pPr>
              <w:jc w:val="both"/>
              <w:rPr>
                <w:bCs/>
              </w:rPr>
            </w:pPr>
            <w:r>
              <w:rPr>
                <w:bCs/>
              </w:rPr>
              <w:t xml:space="preserve">                                                                   Ο Προϊστάμενος </w:t>
            </w:r>
          </w:p>
          <w:p w:rsidR="00C22A38" w:rsidRDefault="00C22A38" w:rsidP="00251444">
            <w:pPr>
              <w:jc w:val="both"/>
              <w:rPr>
                <w:bCs/>
              </w:rPr>
            </w:pPr>
          </w:p>
          <w:p w:rsidR="003A0FAF" w:rsidRDefault="003A0FAF" w:rsidP="00251444">
            <w:pPr>
              <w:jc w:val="both"/>
              <w:rPr>
                <w:bCs/>
              </w:rPr>
            </w:pPr>
          </w:p>
          <w:p w:rsidR="00C22A38" w:rsidRPr="00C40462" w:rsidRDefault="00C22A38" w:rsidP="00251444">
            <w:pPr>
              <w:jc w:val="both"/>
              <w:rPr>
                <w:b/>
                <w:bCs/>
              </w:rPr>
            </w:pPr>
            <w:r>
              <w:rPr>
                <w:bCs/>
              </w:rPr>
              <w:t xml:space="preserve">                                                                Θεόδωρος </w:t>
            </w:r>
            <w:proofErr w:type="spellStart"/>
            <w:r>
              <w:rPr>
                <w:bCs/>
              </w:rPr>
              <w:t>Ξυπολιάς</w:t>
            </w:r>
            <w:proofErr w:type="spellEnd"/>
          </w:p>
          <w:p w:rsidR="00C22A38" w:rsidRPr="00E21D2B" w:rsidRDefault="00C22A38" w:rsidP="00251444">
            <w:pPr>
              <w:jc w:val="both"/>
              <w:rPr>
                <w:bCs/>
              </w:rPr>
            </w:pPr>
            <w:r>
              <w:rPr>
                <w:bCs/>
              </w:rPr>
              <w:t xml:space="preserve">                                                                 Σύμβουλος ΟΕΥ Α΄ </w:t>
            </w:r>
          </w:p>
          <w:p w:rsidR="000345B7" w:rsidRPr="00E21D2B" w:rsidRDefault="000345B7" w:rsidP="00251444">
            <w:pPr>
              <w:jc w:val="both"/>
              <w:rPr>
                <w:bCs/>
              </w:rPr>
            </w:pPr>
          </w:p>
          <w:p w:rsidR="000345B7" w:rsidRPr="00E21D2B" w:rsidRDefault="000345B7" w:rsidP="00251444">
            <w:pPr>
              <w:jc w:val="both"/>
              <w:rPr>
                <w:bCs/>
              </w:rPr>
            </w:pPr>
          </w:p>
          <w:p w:rsidR="00273E08" w:rsidRPr="000345B7" w:rsidRDefault="00273E08" w:rsidP="00E83978">
            <w:pPr>
              <w:jc w:val="both"/>
              <w:rPr>
                <w:bCs/>
              </w:rPr>
            </w:pPr>
          </w:p>
        </w:tc>
      </w:tr>
      <w:tr w:rsidR="00273E08" w:rsidRPr="00A27916" w:rsidTr="00273E08">
        <w:trPr>
          <w:gridAfter w:val="1"/>
          <w:wAfter w:w="305" w:type="dxa"/>
        </w:trPr>
        <w:tc>
          <w:tcPr>
            <w:tcW w:w="8946" w:type="dxa"/>
          </w:tcPr>
          <w:p w:rsidR="003C7B44" w:rsidRPr="00E74D7E" w:rsidRDefault="003C7B44" w:rsidP="00F152C7">
            <w:pPr>
              <w:rPr>
                <w:bCs/>
              </w:rPr>
            </w:pPr>
          </w:p>
        </w:tc>
      </w:tr>
      <w:tr w:rsidR="00273E08" w:rsidRPr="00A27916" w:rsidTr="00273E08">
        <w:trPr>
          <w:gridAfter w:val="1"/>
          <w:wAfter w:w="305" w:type="dxa"/>
        </w:trPr>
        <w:tc>
          <w:tcPr>
            <w:tcW w:w="8946" w:type="dxa"/>
          </w:tcPr>
          <w:p w:rsidR="000A1D64" w:rsidRDefault="000A1D64"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bl>
    <w:p w:rsidR="001D54DA" w:rsidRPr="00E74D7E" w:rsidRDefault="001D54DA" w:rsidP="00E83978">
      <w:pPr>
        <w:spacing w:before="60" w:after="60" w:line="300" w:lineRule="auto"/>
        <w:ind w:right="-241"/>
        <w:jc w:val="both"/>
        <w:rPr>
          <w:b/>
          <w:sz w:val="6"/>
        </w:rPr>
      </w:pPr>
    </w:p>
    <w:sectPr w:rsidR="001D54DA" w:rsidRPr="00E74D7E" w:rsidSect="008E613E">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02F" w:rsidRDefault="00CC402F" w:rsidP="0014093E">
      <w:r>
        <w:separator/>
      </w:r>
    </w:p>
  </w:endnote>
  <w:endnote w:type="continuationSeparator" w:id="1">
    <w:p w:rsidR="00CC402F" w:rsidRDefault="00CC402F"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02F" w:rsidRPr="00AF2A95" w:rsidRDefault="00CC402F" w:rsidP="0074232E">
    <w:pPr>
      <w:pStyle w:val="Footer"/>
      <w:jc w:val="right"/>
      <w:rPr>
        <w:b/>
        <w:sz w:val="2"/>
        <w:szCs w:val="2"/>
      </w:rPr>
    </w:pPr>
    <w:r>
      <w:rPr>
        <w:b/>
      </w:rPr>
      <w:t>_____________________________________________________________________</w:t>
    </w:r>
  </w:p>
  <w:p w:rsidR="00CC402F" w:rsidRDefault="00CC402F" w:rsidP="0074232E">
    <w:pPr>
      <w:pStyle w:val="Footer"/>
      <w:jc w:val="center"/>
      <w:rPr>
        <w:b/>
        <w:sz w:val="20"/>
        <w:szCs w:val="20"/>
      </w:rPr>
    </w:pPr>
    <w:r>
      <w:rPr>
        <w:b/>
        <w:sz w:val="20"/>
        <w:szCs w:val="20"/>
      </w:rPr>
      <w:t>ΑΔΙΑΒΑΘΜΗΤΟ - ΚΑΝΟΝΙΚΟ</w:t>
    </w:r>
  </w:p>
  <w:p w:rsidR="00CC402F" w:rsidRPr="00914D01" w:rsidRDefault="00CC402F"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6533C3">
      <w:rPr>
        <w:noProof/>
        <w:sz w:val="20"/>
        <w:szCs w:val="20"/>
      </w:rPr>
      <w:t>2</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6533C3">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02F" w:rsidRDefault="00CC402F" w:rsidP="0014093E">
      <w:r>
        <w:separator/>
      </w:r>
    </w:p>
  </w:footnote>
  <w:footnote w:type="continuationSeparator" w:id="1">
    <w:p w:rsidR="00CC402F" w:rsidRDefault="00CC402F"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1DC53931"/>
    <w:multiLevelType w:val="hybridMultilevel"/>
    <w:tmpl w:val="14489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0">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1">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2">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5CB55D69"/>
    <w:multiLevelType w:val="hybridMultilevel"/>
    <w:tmpl w:val="656AF616"/>
    <w:lvl w:ilvl="0" w:tplc="003C4CD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8"/>
  </w:num>
  <w:num w:numId="11">
    <w:abstractNumId w:val="13"/>
  </w:num>
  <w:num w:numId="12">
    <w:abstractNumId w:val="11"/>
  </w:num>
  <w:num w:numId="13">
    <w:abstractNumId w:val="14"/>
  </w:num>
  <w:num w:numId="14">
    <w:abstractNumId w:val="19"/>
  </w:num>
  <w:num w:numId="15">
    <w:abstractNumId w:val="0"/>
  </w:num>
  <w:num w:numId="16">
    <w:abstractNumId w:val="20"/>
  </w:num>
  <w:num w:numId="17">
    <w:abstractNumId w:val="2"/>
  </w:num>
  <w:num w:numId="18">
    <w:abstractNumId w:val="23"/>
  </w:num>
  <w:num w:numId="19">
    <w:abstractNumId w:val="3"/>
  </w:num>
  <w:num w:numId="20">
    <w:abstractNumId w:val="1"/>
  </w:num>
  <w:num w:numId="21">
    <w:abstractNumId w:val="7"/>
  </w:num>
  <w:num w:numId="22">
    <w:abstractNumId w:val="5"/>
  </w:num>
  <w:num w:numId="23">
    <w:abstractNumId w:val="12"/>
  </w:num>
  <w:num w:numId="24">
    <w:abstractNumId w:val="24"/>
  </w:num>
  <w:num w:numId="25">
    <w:abstractNumId w:val="21"/>
  </w:num>
  <w:num w:numId="26">
    <w:abstractNumId w:val="6"/>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66913"/>
  </w:hdrShapeDefaults>
  <w:footnotePr>
    <w:footnote w:id="0"/>
    <w:footnote w:id="1"/>
  </w:footnotePr>
  <w:endnotePr>
    <w:endnote w:id="0"/>
    <w:endnote w:id="1"/>
  </w:endnotePr>
  <w:compat/>
  <w:rsids>
    <w:rsidRoot w:val="00C26DB6"/>
    <w:rsid w:val="0000163C"/>
    <w:rsid w:val="000024EC"/>
    <w:rsid w:val="00002ABE"/>
    <w:rsid w:val="00002E43"/>
    <w:rsid w:val="0000410D"/>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5AB6"/>
    <w:rsid w:val="00046FB3"/>
    <w:rsid w:val="00047F9D"/>
    <w:rsid w:val="00051AFB"/>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1D64"/>
    <w:rsid w:val="000A20B3"/>
    <w:rsid w:val="000A302A"/>
    <w:rsid w:val="000A361C"/>
    <w:rsid w:val="000A6CC7"/>
    <w:rsid w:val="000A75A7"/>
    <w:rsid w:val="000A7D08"/>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373B"/>
    <w:rsid w:val="000C4019"/>
    <w:rsid w:val="000C4248"/>
    <w:rsid w:val="000C46BB"/>
    <w:rsid w:val="000C5137"/>
    <w:rsid w:val="000C7EE0"/>
    <w:rsid w:val="000D0D91"/>
    <w:rsid w:val="000D15F2"/>
    <w:rsid w:val="000D1830"/>
    <w:rsid w:val="000D66B4"/>
    <w:rsid w:val="000D682A"/>
    <w:rsid w:val="000D7637"/>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78C9"/>
    <w:rsid w:val="00127949"/>
    <w:rsid w:val="00131C53"/>
    <w:rsid w:val="00133613"/>
    <w:rsid w:val="0013371A"/>
    <w:rsid w:val="001370AD"/>
    <w:rsid w:val="00140280"/>
    <w:rsid w:val="0014093E"/>
    <w:rsid w:val="00140B18"/>
    <w:rsid w:val="001410C2"/>
    <w:rsid w:val="00141689"/>
    <w:rsid w:val="00142218"/>
    <w:rsid w:val="00142511"/>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57290"/>
    <w:rsid w:val="00160456"/>
    <w:rsid w:val="0016046F"/>
    <w:rsid w:val="001622A1"/>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2C99"/>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A9"/>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01A"/>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66FDE"/>
    <w:rsid w:val="00271500"/>
    <w:rsid w:val="002717F8"/>
    <w:rsid w:val="00271E51"/>
    <w:rsid w:val="0027245D"/>
    <w:rsid w:val="00273052"/>
    <w:rsid w:val="0027307E"/>
    <w:rsid w:val="00273E08"/>
    <w:rsid w:val="002743BE"/>
    <w:rsid w:val="00274770"/>
    <w:rsid w:val="002753A5"/>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5590"/>
    <w:rsid w:val="00296025"/>
    <w:rsid w:val="00296E9B"/>
    <w:rsid w:val="002A030E"/>
    <w:rsid w:val="002A05E9"/>
    <w:rsid w:val="002A1168"/>
    <w:rsid w:val="002A25E2"/>
    <w:rsid w:val="002A41B9"/>
    <w:rsid w:val="002A58D9"/>
    <w:rsid w:val="002B0A19"/>
    <w:rsid w:val="002B16A1"/>
    <w:rsid w:val="002B33F3"/>
    <w:rsid w:val="002B5317"/>
    <w:rsid w:val="002C0BC9"/>
    <w:rsid w:val="002C14F7"/>
    <w:rsid w:val="002C1B92"/>
    <w:rsid w:val="002C2A34"/>
    <w:rsid w:val="002C575D"/>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54EE"/>
    <w:rsid w:val="002E7153"/>
    <w:rsid w:val="002F0DDC"/>
    <w:rsid w:val="002F1D66"/>
    <w:rsid w:val="002F238F"/>
    <w:rsid w:val="002F2928"/>
    <w:rsid w:val="002F299C"/>
    <w:rsid w:val="002F3521"/>
    <w:rsid w:val="002F46C3"/>
    <w:rsid w:val="002F61B1"/>
    <w:rsid w:val="002F6E30"/>
    <w:rsid w:val="00300E98"/>
    <w:rsid w:val="003019E7"/>
    <w:rsid w:val="0030218A"/>
    <w:rsid w:val="003028E4"/>
    <w:rsid w:val="00303815"/>
    <w:rsid w:val="00305981"/>
    <w:rsid w:val="00306087"/>
    <w:rsid w:val="00307773"/>
    <w:rsid w:val="00311F0B"/>
    <w:rsid w:val="00313656"/>
    <w:rsid w:val="00313F7D"/>
    <w:rsid w:val="00314021"/>
    <w:rsid w:val="003148AD"/>
    <w:rsid w:val="00315D9B"/>
    <w:rsid w:val="00316A9F"/>
    <w:rsid w:val="00316ACA"/>
    <w:rsid w:val="003174B3"/>
    <w:rsid w:val="00317ABC"/>
    <w:rsid w:val="00322316"/>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2345"/>
    <w:rsid w:val="003463FD"/>
    <w:rsid w:val="00347D17"/>
    <w:rsid w:val="00347DEA"/>
    <w:rsid w:val="00352C8F"/>
    <w:rsid w:val="003530CC"/>
    <w:rsid w:val="00356296"/>
    <w:rsid w:val="0036327E"/>
    <w:rsid w:val="003640A3"/>
    <w:rsid w:val="00364301"/>
    <w:rsid w:val="00364816"/>
    <w:rsid w:val="003661B5"/>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B63CA"/>
    <w:rsid w:val="003C0C89"/>
    <w:rsid w:val="003C2372"/>
    <w:rsid w:val="003C3E93"/>
    <w:rsid w:val="003C442D"/>
    <w:rsid w:val="003C457E"/>
    <w:rsid w:val="003C4C0E"/>
    <w:rsid w:val="003C70D7"/>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1220"/>
    <w:rsid w:val="004724DC"/>
    <w:rsid w:val="00472689"/>
    <w:rsid w:val="0047361A"/>
    <w:rsid w:val="00473AAB"/>
    <w:rsid w:val="004748EA"/>
    <w:rsid w:val="004750E8"/>
    <w:rsid w:val="0047522A"/>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902"/>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43A0"/>
    <w:rsid w:val="005258F4"/>
    <w:rsid w:val="00526CB9"/>
    <w:rsid w:val="00530CE1"/>
    <w:rsid w:val="00532A5E"/>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9A8"/>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1853"/>
    <w:rsid w:val="005C2111"/>
    <w:rsid w:val="005C512C"/>
    <w:rsid w:val="005C593C"/>
    <w:rsid w:val="005C5A44"/>
    <w:rsid w:val="005C6A71"/>
    <w:rsid w:val="005D134F"/>
    <w:rsid w:val="005D1478"/>
    <w:rsid w:val="005D266B"/>
    <w:rsid w:val="005D3F86"/>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0ADC"/>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65F9"/>
    <w:rsid w:val="00636D08"/>
    <w:rsid w:val="00636E60"/>
    <w:rsid w:val="00640264"/>
    <w:rsid w:val="00641383"/>
    <w:rsid w:val="00641AD5"/>
    <w:rsid w:val="006433DA"/>
    <w:rsid w:val="00643A39"/>
    <w:rsid w:val="006448F1"/>
    <w:rsid w:val="00646634"/>
    <w:rsid w:val="00650051"/>
    <w:rsid w:val="00651CEA"/>
    <w:rsid w:val="006533C3"/>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3437"/>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690E"/>
    <w:rsid w:val="006D730F"/>
    <w:rsid w:val="006E0DB4"/>
    <w:rsid w:val="006E1495"/>
    <w:rsid w:val="006E1AAF"/>
    <w:rsid w:val="006E1FC1"/>
    <w:rsid w:val="006E2DC2"/>
    <w:rsid w:val="006E2E48"/>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15B"/>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1766"/>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628D"/>
    <w:rsid w:val="008067ED"/>
    <w:rsid w:val="0081043E"/>
    <w:rsid w:val="00810643"/>
    <w:rsid w:val="0081090C"/>
    <w:rsid w:val="00813095"/>
    <w:rsid w:val="00814FFD"/>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6AB7"/>
    <w:rsid w:val="00836CFE"/>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3CC4"/>
    <w:rsid w:val="008A4B78"/>
    <w:rsid w:val="008A56F4"/>
    <w:rsid w:val="008A58DD"/>
    <w:rsid w:val="008A5B78"/>
    <w:rsid w:val="008A5B9B"/>
    <w:rsid w:val="008A732E"/>
    <w:rsid w:val="008A7981"/>
    <w:rsid w:val="008A7E09"/>
    <w:rsid w:val="008B0498"/>
    <w:rsid w:val="008B1B54"/>
    <w:rsid w:val="008B2CF5"/>
    <w:rsid w:val="008B3616"/>
    <w:rsid w:val="008B3C86"/>
    <w:rsid w:val="008B3D03"/>
    <w:rsid w:val="008B47A3"/>
    <w:rsid w:val="008B574B"/>
    <w:rsid w:val="008C5AD8"/>
    <w:rsid w:val="008C6014"/>
    <w:rsid w:val="008C65B5"/>
    <w:rsid w:val="008C6A88"/>
    <w:rsid w:val="008C7D9D"/>
    <w:rsid w:val="008D07E3"/>
    <w:rsid w:val="008D2985"/>
    <w:rsid w:val="008D3360"/>
    <w:rsid w:val="008D3743"/>
    <w:rsid w:val="008D3E16"/>
    <w:rsid w:val="008D4B06"/>
    <w:rsid w:val="008D4C70"/>
    <w:rsid w:val="008D62BB"/>
    <w:rsid w:val="008D6ACD"/>
    <w:rsid w:val="008D6D0E"/>
    <w:rsid w:val="008E253F"/>
    <w:rsid w:val="008E47F3"/>
    <w:rsid w:val="008E4841"/>
    <w:rsid w:val="008E4AFA"/>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BE8"/>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36D98"/>
    <w:rsid w:val="00A41DC7"/>
    <w:rsid w:val="00A42588"/>
    <w:rsid w:val="00A427D5"/>
    <w:rsid w:val="00A53073"/>
    <w:rsid w:val="00A547BD"/>
    <w:rsid w:val="00A5501D"/>
    <w:rsid w:val="00A55CB8"/>
    <w:rsid w:val="00A5684B"/>
    <w:rsid w:val="00A56DE2"/>
    <w:rsid w:val="00A57153"/>
    <w:rsid w:val="00A57C5E"/>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25D"/>
    <w:rsid w:val="00AB4AA4"/>
    <w:rsid w:val="00AB7555"/>
    <w:rsid w:val="00AC0354"/>
    <w:rsid w:val="00AC0A72"/>
    <w:rsid w:val="00AC0E4B"/>
    <w:rsid w:val="00AC36B3"/>
    <w:rsid w:val="00AC40AE"/>
    <w:rsid w:val="00AC45FA"/>
    <w:rsid w:val="00AC4EDE"/>
    <w:rsid w:val="00AC55D9"/>
    <w:rsid w:val="00AC72E3"/>
    <w:rsid w:val="00AD061A"/>
    <w:rsid w:val="00AD17FD"/>
    <w:rsid w:val="00AD4079"/>
    <w:rsid w:val="00AD45FE"/>
    <w:rsid w:val="00AD51E9"/>
    <w:rsid w:val="00AD67A5"/>
    <w:rsid w:val="00AD6D4D"/>
    <w:rsid w:val="00AD7BD2"/>
    <w:rsid w:val="00AE21C0"/>
    <w:rsid w:val="00AE2DA7"/>
    <w:rsid w:val="00AE32BB"/>
    <w:rsid w:val="00AE372B"/>
    <w:rsid w:val="00AE462F"/>
    <w:rsid w:val="00AE483A"/>
    <w:rsid w:val="00AE4DF8"/>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3DE4"/>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58E5"/>
    <w:rsid w:val="00BD64E7"/>
    <w:rsid w:val="00BD69F4"/>
    <w:rsid w:val="00BD748E"/>
    <w:rsid w:val="00BE0D29"/>
    <w:rsid w:val="00BE116B"/>
    <w:rsid w:val="00BE1BAD"/>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4566"/>
    <w:rsid w:val="00C1556B"/>
    <w:rsid w:val="00C16409"/>
    <w:rsid w:val="00C20BA7"/>
    <w:rsid w:val="00C22A38"/>
    <w:rsid w:val="00C234CE"/>
    <w:rsid w:val="00C26710"/>
    <w:rsid w:val="00C26D0E"/>
    <w:rsid w:val="00C26DB6"/>
    <w:rsid w:val="00C26F9C"/>
    <w:rsid w:val="00C27729"/>
    <w:rsid w:val="00C27F9A"/>
    <w:rsid w:val="00C31DF5"/>
    <w:rsid w:val="00C32140"/>
    <w:rsid w:val="00C3352D"/>
    <w:rsid w:val="00C34051"/>
    <w:rsid w:val="00C351C6"/>
    <w:rsid w:val="00C364BE"/>
    <w:rsid w:val="00C40462"/>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3790"/>
    <w:rsid w:val="00CB4CB6"/>
    <w:rsid w:val="00CB79B7"/>
    <w:rsid w:val="00CC004D"/>
    <w:rsid w:val="00CC068A"/>
    <w:rsid w:val="00CC0BDB"/>
    <w:rsid w:val="00CC13DA"/>
    <w:rsid w:val="00CC14B1"/>
    <w:rsid w:val="00CC1719"/>
    <w:rsid w:val="00CC402F"/>
    <w:rsid w:val="00CC454E"/>
    <w:rsid w:val="00CC5072"/>
    <w:rsid w:val="00CC6367"/>
    <w:rsid w:val="00CC685A"/>
    <w:rsid w:val="00CC6F69"/>
    <w:rsid w:val="00CC7905"/>
    <w:rsid w:val="00CD055D"/>
    <w:rsid w:val="00CD3DD4"/>
    <w:rsid w:val="00CD4268"/>
    <w:rsid w:val="00CD478C"/>
    <w:rsid w:val="00CD4992"/>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B28"/>
    <w:rsid w:val="00D56833"/>
    <w:rsid w:val="00D600B9"/>
    <w:rsid w:val="00D60350"/>
    <w:rsid w:val="00D6053F"/>
    <w:rsid w:val="00D61A48"/>
    <w:rsid w:val="00D65060"/>
    <w:rsid w:val="00D65BFD"/>
    <w:rsid w:val="00D65FED"/>
    <w:rsid w:val="00D66F08"/>
    <w:rsid w:val="00D6704B"/>
    <w:rsid w:val="00D67B36"/>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D3DD0"/>
    <w:rsid w:val="00DE4B65"/>
    <w:rsid w:val="00DE58F5"/>
    <w:rsid w:val="00DE5ACC"/>
    <w:rsid w:val="00DE6093"/>
    <w:rsid w:val="00DE649A"/>
    <w:rsid w:val="00DE74E5"/>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4507"/>
    <w:rsid w:val="00E246F8"/>
    <w:rsid w:val="00E2493F"/>
    <w:rsid w:val="00E254F7"/>
    <w:rsid w:val="00E25A6F"/>
    <w:rsid w:val="00E260A4"/>
    <w:rsid w:val="00E271AF"/>
    <w:rsid w:val="00E27460"/>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1341"/>
    <w:rsid w:val="00E82420"/>
    <w:rsid w:val="00E82EBA"/>
    <w:rsid w:val="00E835BF"/>
    <w:rsid w:val="00E83978"/>
    <w:rsid w:val="00E849A1"/>
    <w:rsid w:val="00E84C13"/>
    <w:rsid w:val="00E856F8"/>
    <w:rsid w:val="00E85A14"/>
    <w:rsid w:val="00E861D2"/>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B032D"/>
    <w:rsid w:val="00EB0706"/>
    <w:rsid w:val="00EB0CBF"/>
    <w:rsid w:val="00EB2903"/>
    <w:rsid w:val="00EB319B"/>
    <w:rsid w:val="00EB3562"/>
    <w:rsid w:val="00EB3D7B"/>
    <w:rsid w:val="00EB4927"/>
    <w:rsid w:val="00EB69F4"/>
    <w:rsid w:val="00EB6B97"/>
    <w:rsid w:val="00EC044F"/>
    <w:rsid w:val="00EC045A"/>
    <w:rsid w:val="00EC10A7"/>
    <w:rsid w:val="00EC2100"/>
    <w:rsid w:val="00EC23E0"/>
    <w:rsid w:val="00EC2704"/>
    <w:rsid w:val="00EC3C72"/>
    <w:rsid w:val="00EC48E7"/>
    <w:rsid w:val="00EC5DDD"/>
    <w:rsid w:val="00EC6CEC"/>
    <w:rsid w:val="00ED2337"/>
    <w:rsid w:val="00ED424D"/>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4D2B"/>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4481"/>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4D43"/>
    <w:rsid w:val="00F8502B"/>
    <w:rsid w:val="00F858FC"/>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3194"/>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6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85632-6D4D-4BCF-A67D-24C2CD06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676</Words>
  <Characters>3854</Characters>
  <Application>Microsoft Office Word</Application>
  <DocSecurity>0</DocSecurity>
  <Lines>32</Lines>
  <Paragraphs>9</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2021-03-29T13:36:00Z</cp:lastPrinted>
  <dcterms:created xsi:type="dcterms:W3CDTF">2021-03-29T13:54:00Z</dcterms:created>
  <dcterms:modified xsi:type="dcterms:W3CDTF">2021-03-29T13:54:00Z</dcterms:modified>
</cp:coreProperties>
</file>