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019454"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0A376E" w:rsidRDefault="00236C82" w:rsidP="00BD58E5">
                  <w:pPr>
                    <w:rPr>
                      <w:lang w:val="en-GB"/>
                    </w:rPr>
                  </w:pPr>
                  <w:r w:rsidRPr="006D231D">
                    <w:t>Βερολίνο</w:t>
                  </w:r>
                  <w:r>
                    <w:t>,</w:t>
                  </w:r>
                  <w:r w:rsidR="008E613E">
                    <w:rPr>
                      <w:lang w:val="en-GB"/>
                    </w:rPr>
                    <w:t xml:space="preserve"> </w:t>
                  </w:r>
                  <w:r w:rsidR="000A376E">
                    <w:rPr>
                      <w:lang w:val="en-GB"/>
                    </w:rPr>
                    <w:t xml:space="preserve">23 </w:t>
                  </w:r>
                  <w:r w:rsidR="00823F3B">
                    <w:t xml:space="preserve">Μαρτίου </w:t>
                  </w:r>
                  <w:r w:rsidR="00476934">
                    <w:t>2021</w:t>
                  </w:r>
                </w:p>
              </w:tc>
            </w:tr>
            <w:tr w:rsidR="00236C82" w:rsidRPr="002F46C3" w:rsidTr="00814FFD">
              <w:trPr>
                <w:trHeight w:val="80"/>
              </w:trPr>
              <w:tc>
                <w:tcPr>
                  <w:tcW w:w="3827" w:type="dxa"/>
                </w:tcPr>
                <w:p w:rsidR="00496425" w:rsidRPr="000A376E" w:rsidRDefault="006960A0" w:rsidP="00BD58E5">
                  <w:pPr>
                    <w:rPr>
                      <w:lang w:val="en-GB"/>
                    </w:rPr>
                  </w:pPr>
                  <w:r>
                    <w:t>Α.Π.:</w:t>
                  </w:r>
                  <w:r w:rsidR="00C84BA2">
                    <w:t xml:space="preserve"> </w:t>
                  </w:r>
                  <w:r w:rsidR="00610ADC">
                    <w:t xml:space="preserve"> </w:t>
                  </w:r>
                  <w:r w:rsidR="0019095C">
                    <w:t>721</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633BB9">
              <w:t xml:space="preserve">4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633BB9">
              <w:t xml:space="preserve">8 </w:t>
            </w:r>
            <w:r w:rsidR="00463B87">
              <w:t xml:space="preserve">Διευθύνσεις </w:t>
            </w:r>
          </w:p>
          <w:p w:rsidR="00463B87"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124557" w:rsidRDefault="00124557" w:rsidP="001D54A9"/>
          <w:p w:rsidR="00124557" w:rsidRDefault="00124557" w:rsidP="001D54A9">
            <w:pPr>
              <w:rPr>
                <w:b/>
              </w:rPr>
            </w:pPr>
            <w:r>
              <w:rPr>
                <w:b/>
              </w:rPr>
              <w:t xml:space="preserve">Υπουργείο Ανάπτυξης &amp; Επενδύσεων </w:t>
            </w:r>
          </w:p>
          <w:p w:rsidR="00124557" w:rsidRPr="00124557" w:rsidRDefault="00124557" w:rsidP="001D54A9">
            <w:r w:rsidRPr="00124557">
              <w:t>Γραφείο κ. Υπουργο</w:t>
            </w:r>
            <w:r w:rsidR="00A57718">
              <w:t>ύ (μέσω ημών)</w:t>
            </w:r>
          </w:p>
          <w:p w:rsidR="00124557" w:rsidRPr="00124557" w:rsidRDefault="00124557" w:rsidP="001D54A9">
            <w:proofErr w:type="spellStart"/>
            <w:r w:rsidRPr="00124557">
              <w:t>Υπ΄όψιν</w:t>
            </w:r>
            <w:proofErr w:type="spellEnd"/>
            <w:r w:rsidRPr="00124557">
              <w:t xml:space="preserve"> </w:t>
            </w:r>
            <w:proofErr w:type="spellStart"/>
            <w:r w:rsidRPr="00124557">
              <w:t>κας</w:t>
            </w:r>
            <w:proofErr w:type="spellEnd"/>
            <w:r w:rsidRPr="00124557">
              <w:t xml:space="preserve"> Διπλωματικής Συμβούλου </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41" w:type="dxa"/>
        <w:tblInd w:w="-212" w:type="dxa"/>
        <w:tblLook w:val="01E0"/>
      </w:tblPr>
      <w:tblGrid>
        <w:gridCol w:w="8946"/>
        <w:gridCol w:w="295"/>
      </w:tblGrid>
      <w:tr w:rsidR="00273E08" w:rsidRPr="003226C0" w:rsidTr="003226C0">
        <w:tc>
          <w:tcPr>
            <w:tcW w:w="9241" w:type="dxa"/>
            <w:gridSpan w:val="2"/>
            <w:hideMark/>
          </w:tcPr>
          <w:p w:rsidR="005D3F86" w:rsidRDefault="00273E08" w:rsidP="003226C0">
            <w:pPr>
              <w:ind w:left="360"/>
              <w:jc w:val="both"/>
              <w:rPr>
                <w:b/>
                <w:bCs/>
              </w:rPr>
            </w:pPr>
            <w:r w:rsidRPr="003226C0">
              <w:rPr>
                <w:b/>
                <w:bCs/>
              </w:rPr>
              <w:t>ΘΕΜΑ:</w:t>
            </w:r>
            <w:r w:rsidR="00607383">
              <w:rPr>
                <w:b/>
                <w:bCs/>
              </w:rPr>
              <w:t xml:space="preserve"> «Νέα παράταση του κλεισίματος της αγοράς στην Γερμανία μέχρι τις 18 Απριλίου – Αντιδράσεις των Γερμανικών Ομοσπονδιακών Ενώσεων, των Τραπεζών και άλλων συνδικαλιστικών φορέων</w:t>
            </w:r>
            <w:r w:rsidR="00F40D1D" w:rsidRPr="003226C0">
              <w:rPr>
                <w:b/>
                <w:bCs/>
              </w:rPr>
              <w:t>»</w:t>
            </w:r>
          </w:p>
          <w:p w:rsidR="00607383" w:rsidRDefault="00607383" w:rsidP="003226C0">
            <w:pPr>
              <w:ind w:left="360"/>
              <w:jc w:val="both"/>
              <w:rPr>
                <w:b/>
                <w:bCs/>
              </w:rPr>
            </w:pPr>
          </w:p>
          <w:p w:rsidR="00607383" w:rsidRPr="00633BB9" w:rsidRDefault="00607383" w:rsidP="003226C0">
            <w:pPr>
              <w:ind w:left="360"/>
              <w:jc w:val="both"/>
              <w:rPr>
                <w:b/>
                <w:bCs/>
              </w:rPr>
            </w:pPr>
            <w:r>
              <w:rPr>
                <w:bCs/>
              </w:rPr>
              <w:t xml:space="preserve">Γερμανικές Ομοσπονδιακές Ενώσεις, Επιχειρηματικοί Φορείς και Τράπεζες </w:t>
            </w:r>
            <w:r w:rsidR="00DE7BDA">
              <w:rPr>
                <w:bCs/>
              </w:rPr>
              <w:t>εκφράζουν τις έντονες διαμαρτυρίες</w:t>
            </w:r>
            <w:r w:rsidR="00633BB9">
              <w:rPr>
                <w:bCs/>
              </w:rPr>
              <w:t xml:space="preserve"> </w:t>
            </w:r>
            <w:r w:rsidR="00DE7BDA">
              <w:rPr>
                <w:bCs/>
              </w:rPr>
              <w:t>και διαφωνίες</w:t>
            </w:r>
            <w:r w:rsidR="00633BB9">
              <w:rPr>
                <w:bCs/>
              </w:rPr>
              <w:t xml:space="preserve"> τους με αφορμή την χθεσινή</w:t>
            </w:r>
            <w:r w:rsidR="00DE7BDA">
              <w:rPr>
                <w:bCs/>
              </w:rPr>
              <w:t xml:space="preserve"> απόφαση</w:t>
            </w:r>
            <w:r w:rsidR="00633BB9">
              <w:rPr>
                <w:bCs/>
              </w:rPr>
              <w:t xml:space="preserve"> </w:t>
            </w:r>
            <w:r w:rsidR="00DE7BDA">
              <w:rPr>
                <w:bCs/>
              </w:rPr>
              <w:t xml:space="preserve">της Κεντρικής Ομοσπονδιακής Κυβέρνησης και των Κυβερνήσεων των 16 Ομόσπονδων Κρατιδίων για περαιτέρω παράταση των περιοριστικών μέτρων λόγω της συνεχιζόμενης πανδημίας του κορωνοϊού μέχρι τις 18 Απριλίου </w:t>
            </w:r>
            <w:proofErr w:type="spellStart"/>
            <w:r w:rsidR="00DE7BDA">
              <w:rPr>
                <w:bCs/>
              </w:rPr>
              <w:t>τ.έ</w:t>
            </w:r>
            <w:proofErr w:type="spellEnd"/>
            <w:r w:rsidR="00DE7BDA">
              <w:rPr>
                <w:bCs/>
              </w:rPr>
              <w:t xml:space="preserve">. </w:t>
            </w:r>
            <w:r w:rsidR="00DE7BDA" w:rsidRPr="00633BB9">
              <w:rPr>
                <w:b/>
                <w:bCs/>
              </w:rPr>
              <w:t>Μάλιστα για την περιοχή του Βερολίνου η τοπική βουλή προτείνει την παράταση του «</w:t>
            </w:r>
            <w:proofErr w:type="spellStart"/>
            <w:r w:rsidR="00DE7BDA" w:rsidRPr="00633BB9">
              <w:rPr>
                <w:b/>
                <w:bCs/>
                <w:lang w:val="de-DE"/>
              </w:rPr>
              <w:t>Lockdown</w:t>
            </w:r>
            <w:proofErr w:type="spellEnd"/>
            <w:r w:rsidR="00DE7BDA" w:rsidRPr="00633BB9">
              <w:rPr>
                <w:b/>
                <w:bCs/>
              </w:rPr>
              <w:t xml:space="preserve">» έως και τις 24 Απριλίου </w:t>
            </w:r>
            <w:proofErr w:type="spellStart"/>
            <w:r w:rsidR="00DE7BDA" w:rsidRPr="00633BB9">
              <w:rPr>
                <w:b/>
                <w:bCs/>
              </w:rPr>
              <w:t>τ.έ</w:t>
            </w:r>
            <w:proofErr w:type="spellEnd"/>
            <w:r w:rsidR="00DE7BDA" w:rsidRPr="00633BB9">
              <w:rPr>
                <w:b/>
                <w:bCs/>
              </w:rPr>
              <w:t>.</w:t>
            </w:r>
          </w:p>
          <w:p w:rsidR="00DE7BDA" w:rsidRDefault="00DE7BDA" w:rsidP="003226C0">
            <w:pPr>
              <w:ind w:left="360"/>
              <w:jc w:val="both"/>
              <w:rPr>
                <w:bCs/>
              </w:rPr>
            </w:pPr>
          </w:p>
          <w:p w:rsidR="00124557" w:rsidRDefault="00124557" w:rsidP="003226C0">
            <w:pPr>
              <w:ind w:left="360"/>
              <w:jc w:val="both"/>
              <w:rPr>
                <w:bCs/>
              </w:rPr>
            </w:pPr>
          </w:p>
          <w:p w:rsidR="00124557" w:rsidRDefault="00124557" w:rsidP="003226C0">
            <w:pPr>
              <w:ind w:left="360"/>
              <w:jc w:val="both"/>
              <w:rPr>
                <w:bCs/>
              </w:rPr>
            </w:pPr>
          </w:p>
          <w:p w:rsidR="001914BF" w:rsidRPr="001A682C" w:rsidRDefault="00DE7BDA" w:rsidP="001A682C">
            <w:pPr>
              <w:ind w:left="360"/>
              <w:jc w:val="both"/>
              <w:rPr>
                <w:bCs/>
              </w:rPr>
            </w:pPr>
            <w:r>
              <w:rPr>
                <w:bCs/>
              </w:rPr>
              <w:lastRenderedPageBreak/>
              <w:t>Οι φορείς και εκπρόσωποι, τόσο των εργοδοτών όσο και των εργαζομένων, υποστηρίζ</w:t>
            </w:r>
            <w:r w:rsidR="001914BF">
              <w:rPr>
                <w:bCs/>
              </w:rPr>
              <w:t>ουν ότι η παράταση των περιοριστικών μέτρων θα επιβαρύνει ακόμη περισσότερο την οικονομία στο σύνολό της και τις περισσότερες των επιχειρήσεων ανεξαρτήτως κλάδου. Οι χθεσινές αποφάσεις,</w:t>
            </w:r>
            <w:r w:rsidR="001914BF" w:rsidRPr="001914BF">
              <w:rPr>
                <w:bCs/>
              </w:rPr>
              <w:t xml:space="preserve"> </w:t>
            </w:r>
            <w:r w:rsidR="001914BF">
              <w:rPr>
                <w:bCs/>
              </w:rPr>
              <w:t>αν και μεταφράζονται διαφορετικά από</w:t>
            </w:r>
            <w:r w:rsidR="00633BB9">
              <w:rPr>
                <w:bCs/>
              </w:rPr>
              <w:t xml:space="preserve"> </w:t>
            </w:r>
            <w:r w:rsidR="001914BF">
              <w:rPr>
                <w:bCs/>
              </w:rPr>
              <w:t>τις ηγεσίες των Ομόσπονδων Κρατιδίων, γενικότερα έχουν προκαλέσει πλήθος αντιδράσεων και έντονες διαφωνίες, όσον αφορά την αναγκαιότητα μίας ζημιογόνου παράτασης των περιοριστικών μέτρων και κατά δεύτερον την δυνατότητα διατήρησης των μέτρων αυτών σε συνδυασμό με την έντονη δυσφορία των τοπικών κοινωνιών. Σύμφωνα με την Γερμαν</w:t>
            </w:r>
            <w:r w:rsidR="001A682C">
              <w:rPr>
                <w:bCs/>
              </w:rPr>
              <w:t xml:space="preserve">ική Ομοσπονδιακή </w:t>
            </w:r>
            <w:proofErr w:type="spellStart"/>
            <w:r w:rsidR="001A682C">
              <w:rPr>
                <w:bCs/>
              </w:rPr>
              <w:t>Ενωση</w:t>
            </w:r>
            <w:proofErr w:type="spellEnd"/>
            <w:r w:rsidR="001A682C">
              <w:rPr>
                <w:bCs/>
              </w:rPr>
              <w:t xml:space="preserve"> Βιοτεχνιών (</w:t>
            </w:r>
            <w:r w:rsidR="001A682C">
              <w:rPr>
                <w:bCs/>
                <w:lang w:val="de-DE"/>
              </w:rPr>
              <w:t>ZDH</w:t>
            </w:r>
            <w:r w:rsidR="001A682C" w:rsidRPr="001A682C">
              <w:rPr>
                <w:bCs/>
              </w:rPr>
              <w:t xml:space="preserve"> </w:t>
            </w:r>
            <w:r w:rsidR="001A682C">
              <w:rPr>
                <w:bCs/>
              </w:rPr>
              <w:t>– ZENTRALVERBAND DES DEUTSCHEN HANDWERKS</w:t>
            </w:r>
            <w:r w:rsidR="001A682C" w:rsidRPr="001A682C">
              <w:rPr>
                <w:bCs/>
              </w:rPr>
              <w:t>)</w:t>
            </w:r>
            <w:r w:rsidR="001A682C">
              <w:rPr>
                <w:bCs/>
              </w:rPr>
              <w:t xml:space="preserve"> και την Γερμανική Ομοσπονδιακή </w:t>
            </w:r>
            <w:proofErr w:type="spellStart"/>
            <w:r w:rsidR="001A682C">
              <w:rPr>
                <w:bCs/>
              </w:rPr>
              <w:t>Ενωση</w:t>
            </w:r>
            <w:proofErr w:type="spellEnd"/>
            <w:r w:rsidR="001A682C">
              <w:rPr>
                <w:bCs/>
              </w:rPr>
              <w:t xml:space="preserve"> Μικρομεσαίων Επιχειρήσεων (</w:t>
            </w:r>
            <w:r w:rsidR="001A682C">
              <w:rPr>
                <w:bCs/>
                <w:lang w:val="de-DE"/>
              </w:rPr>
              <w:t>BVMW</w:t>
            </w:r>
            <w:r w:rsidR="001A682C" w:rsidRPr="001A682C">
              <w:rPr>
                <w:bCs/>
              </w:rPr>
              <w:t xml:space="preserve"> – </w:t>
            </w:r>
            <w:r w:rsidR="001A682C">
              <w:rPr>
                <w:bCs/>
                <w:lang w:val="de-DE"/>
              </w:rPr>
              <w:t>BUNDESVERBAND</w:t>
            </w:r>
            <w:r w:rsidR="001A682C" w:rsidRPr="001A682C">
              <w:rPr>
                <w:bCs/>
              </w:rPr>
              <w:t xml:space="preserve"> </w:t>
            </w:r>
            <w:r w:rsidR="001A682C">
              <w:rPr>
                <w:bCs/>
                <w:lang w:val="de-DE"/>
              </w:rPr>
              <w:t>MITTELST</w:t>
            </w:r>
            <w:r w:rsidR="001A682C" w:rsidRPr="001A682C">
              <w:rPr>
                <w:bCs/>
              </w:rPr>
              <w:t>Ä</w:t>
            </w:r>
            <w:r w:rsidR="001A682C">
              <w:rPr>
                <w:bCs/>
                <w:lang w:val="de-DE"/>
              </w:rPr>
              <w:t>NDISCHE</w:t>
            </w:r>
            <w:r w:rsidR="001A682C" w:rsidRPr="001A682C">
              <w:rPr>
                <w:bCs/>
              </w:rPr>
              <w:t xml:space="preserve"> </w:t>
            </w:r>
            <w:r w:rsidR="001A682C">
              <w:rPr>
                <w:bCs/>
                <w:lang w:val="de-DE"/>
              </w:rPr>
              <w:t>WIRTSCHAFT</w:t>
            </w:r>
            <w:r w:rsidR="001A682C" w:rsidRPr="001A682C">
              <w:rPr>
                <w:bCs/>
              </w:rPr>
              <w:t>)</w:t>
            </w:r>
            <w:r w:rsidR="001A682C">
              <w:rPr>
                <w:bCs/>
              </w:rPr>
              <w:t xml:space="preserve">, </w:t>
            </w:r>
            <w:r w:rsidR="001A682C" w:rsidRPr="001A682C">
              <w:rPr>
                <w:bCs/>
              </w:rPr>
              <w:t xml:space="preserve"> </w:t>
            </w:r>
            <w:r w:rsidR="001A682C">
              <w:rPr>
                <w:bCs/>
              </w:rPr>
              <w:t>η</w:t>
            </w:r>
            <w:r w:rsidR="001A682C" w:rsidRPr="001A682C">
              <w:rPr>
                <w:bCs/>
              </w:rPr>
              <w:t xml:space="preserve"> </w:t>
            </w:r>
            <w:r w:rsidR="00044E7A">
              <w:rPr>
                <w:bCs/>
              </w:rPr>
              <w:t xml:space="preserve">παράταση ισχύος των περιοριστικών μέτρων δεν </w:t>
            </w:r>
            <w:r w:rsidR="00633BB9">
              <w:rPr>
                <w:bCs/>
              </w:rPr>
              <w:t xml:space="preserve">αποτέλεσε μεν έκπληξη αλλά προκάλεσε </w:t>
            </w:r>
            <w:r w:rsidR="00044E7A">
              <w:rPr>
                <w:bCs/>
              </w:rPr>
              <w:t xml:space="preserve">ένα δυνατό </w:t>
            </w:r>
            <w:proofErr w:type="spellStart"/>
            <w:r w:rsidR="00044E7A">
              <w:rPr>
                <w:bCs/>
              </w:rPr>
              <w:t>σόκ</w:t>
            </w:r>
            <w:proofErr w:type="spellEnd"/>
            <w:r w:rsidR="00044E7A">
              <w:rPr>
                <w:bCs/>
              </w:rPr>
              <w:t xml:space="preserve"> στο σύνολο των Βιοτεχνών και των Μικρομεσαίων Επιχειρήσεων. </w:t>
            </w:r>
          </w:p>
          <w:p w:rsidR="00044E7A" w:rsidRDefault="00044E7A" w:rsidP="001914BF">
            <w:pPr>
              <w:ind w:left="360"/>
              <w:jc w:val="both"/>
              <w:rPr>
                <w:bCs/>
              </w:rPr>
            </w:pPr>
          </w:p>
          <w:p w:rsidR="00044E7A" w:rsidRDefault="00044E7A" w:rsidP="00044E7A">
            <w:pPr>
              <w:ind w:left="360"/>
              <w:jc w:val="both"/>
              <w:rPr>
                <w:bCs/>
              </w:rPr>
            </w:pPr>
            <w:r>
              <w:rPr>
                <w:bCs/>
              </w:rPr>
              <w:t xml:space="preserve">Σύμφωνα επίσης με τις εκτιμήσεις του Διευθύνοντος Συμβούλου της Γερμανικής Ομοσπονδιακής </w:t>
            </w:r>
            <w:proofErr w:type="spellStart"/>
            <w:r>
              <w:rPr>
                <w:bCs/>
              </w:rPr>
              <w:t>Ενωσης</w:t>
            </w:r>
            <w:proofErr w:type="spellEnd"/>
            <w:r>
              <w:rPr>
                <w:bCs/>
              </w:rPr>
              <w:t xml:space="preserve"> Λιανεμπορίου, κ. </w:t>
            </w:r>
            <w:r>
              <w:rPr>
                <w:bCs/>
                <w:lang w:val="de-DE"/>
              </w:rPr>
              <w:t>Stefan</w:t>
            </w:r>
            <w:r w:rsidRPr="00044E7A">
              <w:rPr>
                <w:bCs/>
              </w:rPr>
              <w:t xml:space="preserve"> </w:t>
            </w:r>
            <w:proofErr w:type="spellStart"/>
            <w:r>
              <w:rPr>
                <w:bCs/>
                <w:lang w:val="de-DE"/>
              </w:rPr>
              <w:t>Genth</w:t>
            </w:r>
            <w:proofErr w:type="spellEnd"/>
            <w:r w:rsidRPr="00044E7A">
              <w:rPr>
                <w:bCs/>
              </w:rPr>
              <w:t xml:space="preserve">, </w:t>
            </w:r>
            <w:r>
              <w:rPr>
                <w:bCs/>
              </w:rPr>
              <w:t xml:space="preserve">επιστημονικά ευρήματα έχουν δείξει ότι ο κίνδυνος μόλυνσης είναι αρκετά χαμηλός κατά την διάρκεια των αγορών των καταναλωτών. Ο εκπρόσωπος του συγκεκριμένου φορέα ζητά, αντί της συνέχισης των </w:t>
            </w:r>
            <w:proofErr w:type="spellStart"/>
            <w:r>
              <w:rPr>
                <w:bCs/>
              </w:rPr>
              <w:t>κοστοβόρων</w:t>
            </w:r>
            <w:proofErr w:type="spellEnd"/>
            <w:r>
              <w:rPr>
                <w:bCs/>
              </w:rPr>
              <w:t xml:space="preserve"> και με αμφιλεγόμενα αποτελέσματα περιο</w:t>
            </w:r>
            <w:r w:rsidR="001A682C">
              <w:rPr>
                <w:bCs/>
              </w:rPr>
              <w:t xml:space="preserve">ριστικών μέτρων, να προχωρήσουν, </w:t>
            </w:r>
            <w:r>
              <w:rPr>
                <w:bCs/>
              </w:rPr>
              <w:t xml:space="preserve">τόσο η Κεντρική Ομοσπονδιακή Κυβέρνηση όσο και οι περιφερειακές Κυβερνήσεις, σε σταδιακό άνοιγμα της αγοράς και ιδιαίτερα των καταστημάτων λιανικής με την πιστή εφαρμογή και σεβασμό των υγειονομικών πρωτοκόλλων και παράλληλα αύξηση των </w:t>
            </w:r>
            <w:proofErr w:type="spellStart"/>
            <w:r>
              <w:rPr>
                <w:bCs/>
              </w:rPr>
              <w:t>τέστ</w:t>
            </w:r>
            <w:proofErr w:type="spellEnd"/>
            <w:r>
              <w:rPr>
                <w:bCs/>
              </w:rPr>
              <w:t>.</w:t>
            </w:r>
          </w:p>
          <w:p w:rsidR="00044E7A" w:rsidRDefault="00044E7A" w:rsidP="00044E7A">
            <w:pPr>
              <w:ind w:left="360"/>
              <w:jc w:val="both"/>
              <w:rPr>
                <w:bCs/>
              </w:rPr>
            </w:pPr>
          </w:p>
          <w:p w:rsidR="00044E7A" w:rsidRDefault="00044E7A" w:rsidP="00BD45EE">
            <w:pPr>
              <w:ind w:left="360"/>
              <w:jc w:val="both"/>
              <w:rPr>
                <w:bCs/>
              </w:rPr>
            </w:pPr>
            <w:r>
              <w:rPr>
                <w:bCs/>
              </w:rPr>
              <w:t>Επίσης</w:t>
            </w:r>
            <w:r w:rsidR="00BD45EE">
              <w:rPr>
                <w:bCs/>
              </w:rPr>
              <w:t xml:space="preserve"> οι οικονομολόγοι, οικονομικοί αναλυτές και </w:t>
            </w:r>
            <w:r>
              <w:rPr>
                <w:bCs/>
              </w:rPr>
              <w:t xml:space="preserve">τραπεζίτες εκτιμούν ότι η νέα παράταση θα αποτελέσει σημαντικό κίνδυνο στην προσπάθεια ανάκαμψης της γερμανικής οικονομίας. </w:t>
            </w:r>
            <w:r w:rsidR="00633BB9">
              <w:rPr>
                <w:bCs/>
              </w:rPr>
              <w:t>Οι αποφάσεις που ελήφθησαν θα οδηγήσουν μ</w:t>
            </w:r>
            <w:r w:rsidR="00BD45EE">
              <w:rPr>
                <w:bCs/>
              </w:rPr>
              <w:t xml:space="preserve">εν </w:t>
            </w:r>
            <w:r w:rsidR="00633BB9">
              <w:rPr>
                <w:bCs/>
              </w:rPr>
              <w:t>την οικονομία σε στασιμότητα και κίνδυνο δημιουργ</w:t>
            </w:r>
            <w:r w:rsidR="00BD45EE">
              <w:rPr>
                <w:bCs/>
              </w:rPr>
              <w:t xml:space="preserve">ίας περαιτέρω συνθηκών ύφεσης και στασιμότητας, </w:t>
            </w:r>
            <w:r w:rsidR="00633BB9">
              <w:rPr>
                <w:bCs/>
              </w:rPr>
              <w:t xml:space="preserve"> τις περισσότερες δε των επιχειρήσεων σε αναγκαστική διακοπή της λειτουργίας τους, όπως αναφέρει ο Διευθύνων Σύμβουλος της τράπεζας </w:t>
            </w:r>
            <w:r w:rsidR="00633BB9">
              <w:rPr>
                <w:bCs/>
                <w:lang w:val="de-DE"/>
              </w:rPr>
              <w:t>ING</w:t>
            </w:r>
            <w:r w:rsidR="00633BB9" w:rsidRPr="00633BB9">
              <w:rPr>
                <w:bCs/>
              </w:rPr>
              <w:t xml:space="preserve"> </w:t>
            </w:r>
            <w:r w:rsidR="00633BB9">
              <w:rPr>
                <w:bCs/>
                <w:lang w:val="de-DE"/>
              </w:rPr>
              <w:t>BANK</w:t>
            </w:r>
            <w:r w:rsidR="00BD45EE">
              <w:rPr>
                <w:bCs/>
              </w:rPr>
              <w:t xml:space="preserve"> κ. </w:t>
            </w:r>
            <w:r w:rsidR="00BD45EE">
              <w:rPr>
                <w:bCs/>
                <w:lang w:val="de-DE"/>
              </w:rPr>
              <w:t>Carsten</w:t>
            </w:r>
            <w:r w:rsidR="00BD45EE" w:rsidRPr="00BD45EE">
              <w:rPr>
                <w:bCs/>
              </w:rPr>
              <w:t xml:space="preserve"> </w:t>
            </w:r>
            <w:proofErr w:type="spellStart"/>
            <w:r w:rsidR="00BD45EE">
              <w:rPr>
                <w:bCs/>
                <w:lang w:val="de-DE"/>
              </w:rPr>
              <w:t>Brzeski</w:t>
            </w:r>
            <w:proofErr w:type="spellEnd"/>
            <w:r w:rsidR="00BD45EE" w:rsidRPr="00BD45EE">
              <w:rPr>
                <w:bCs/>
              </w:rPr>
              <w:t xml:space="preserve">, </w:t>
            </w:r>
            <w:r w:rsidR="00633BB9">
              <w:rPr>
                <w:bCs/>
              </w:rPr>
              <w:t xml:space="preserve"> ενώ προσθέτει ότι το παρόν δεύτερο τρίμηνο </w:t>
            </w:r>
            <w:proofErr w:type="spellStart"/>
            <w:r w:rsidR="00633BB9">
              <w:rPr>
                <w:bCs/>
              </w:rPr>
              <w:t>τ.έ</w:t>
            </w:r>
            <w:proofErr w:type="spellEnd"/>
            <w:r w:rsidR="00633BB9">
              <w:rPr>
                <w:bCs/>
              </w:rPr>
              <w:t xml:space="preserve">. θα καθορίσει και τις εξελίξεις για τα επόμενα τρίμηνα του ιδίου έτους. Τις ίδιες σχεδόν απόψεις έχει και ο εκπρόσωπος της τράπεζας </w:t>
            </w:r>
            <w:r w:rsidR="00633BB9">
              <w:rPr>
                <w:bCs/>
                <w:lang w:val="de-DE"/>
              </w:rPr>
              <w:t>KOMMERZBANK</w:t>
            </w:r>
            <w:r w:rsidR="00633BB9" w:rsidRPr="00633BB9">
              <w:rPr>
                <w:bCs/>
              </w:rPr>
              <w:t xml:space="preserve">, </w:t>
            </w:r>
            <w:r w:rsidR="00633BB9">
              <w:rPr>
                <w:bCs/>
              </w:rPr>
              <w:t xml:space="preserve">κ. </w:t>
            </w:r>
            <w:r w:rsidR="00633BB9">
              <w:rPr>
                <w:bCs/>
                <w:lang w:val="de-DE"/>
              </w:rPr>
              <w:t>J</w:t>
            </w:r>
            <w:r w:rsidR="00633BB9" w:rsidRPr="00633BB9">
              <w:rPr>
                <w:bCs/>
              </w:rPr>
              <w:t>ö</w:t>
            </w:r>
            <w:proofErr w:type="spellStart"/>
            <w:r w:rsidR="00633BB9">
              <w:rPr>
                <w:bCs/>
                <w:lang w:val="de-DE"/>
              </w:rPr>
              <w:t>rg</w:t>
            </w:r>
            <w:proofErr w:type="spellEnd"/>
            <w:r w:rsidR="00633BB9" w:rsidRPr="00633BB9">
              <w:rPr>
                <w:bCs/>
              </w:rPr>
              <w:t xml:space="preserve"> </w:t>
            </w:r>
            <w:proofErr w:type="spellStart"/>
            <w:r w:rsidR="00633BB9">
              <w:rPr>
                <w:bCs/>
                <w:lang w:val="de-DE"/>
              </w:rPr>
              <w:t>Kr</w:t>
            </w:r>
            <w:proofErr w:type="spellEnd"/>
            <w:r w:rsidR="00633BB9" w:rsidRPr="00633BB9">
              <w:rPr>
                <w:bCs/>
              </w:rPr>
              <w:t>ä</w:t>
            </w:r>
            <w:proofErr w:type="spellStart"/>
            <w:r w:rsidR="00633BB9">
              <w:rPr>
                <w:bCs/>
                <w:lang w:val="de-DE"/>
              </w:rPr>
              <w:t>mer</w:t>
            </w:r>
            <w:proofErr w:type="spellEnd"/>
            <w:r w:rsidR="00633BB9" w:rsidRPr="00633BB9">
              <w:rPr>
                <w:bCs/>
              </w:rPr>
              <w:t xml:space="preserve">, </w:t>
            </w:r>
            <w:r w:rsidR="00633BB9">
              <w:rPr>
                <w:bCs/>
              </w:rPr>
              <w:t>τονίζοντας ότι η επιστροφή σε ένα πιο σκληρό κλείσιμο της αγοράς και της κοινωνίας θα έχει πολλές</w:t>
            </w:r>
            <w:r w:rsidR="00BD45EE">
              <w:rPr>
                <w:bCs/>
              </w:rPr>
              <w:t xml:space="preserve"> και επιβλαβείς </w:t>
            </w:r>
            <w:r w:rsidR="00633BB9">
              <w:rPr>
                <w:bCs/>
              </w:rPr>
              <w:t xml:space="preserve">οικονομικές επιπτώσεις με τις συνολικές ζημίες για την γερμανική οικονομία να αγγίζουν τα 10 δις € ανά μήνα. </w:t>
            </w:r>
          </w:p>
          <w:p w:rsidR="00633BB9" w:rsidRDefault="00633BB9" w:rsidP="00044E7A">
            <w:pPr>
              <w:ind w:left="360"/>
              <w:jc w:val="both"/>
              <w:rPr>
                <w:bCs/>
              </w:rPr>
            </w:pPr>
          </w:p>
          <w:p w:rsidR="00633BB9" w:rsidRPr="00633BB9" w:rsidRDefault="00BD45EE" w:rsidP="00BD45EE">
            <w:pPr>
              <w:ind w:left="360"/>
              <w:jc w:val="both"/>
              <w:rPr>
                <w:bCs/>
              </w:rPr>
            </w:pPr>
            <w:r>
              <w:rPr>
                <w:bCs/>
              </w:rPr>
              <w:t xml:space="preserve">Τέλος, ο ρυθμός </w:t>
            </w:r>
            <w:r w:rsidR="00633BB9">
              <w:rPr>
                <w:bCs/>
              </w:rPr>
              <w:t>ανάπτυξη</w:t>
            </w:r>
            <w:r>
              <w:rPr>
                <w:bCs/>
              </w:rPr>
              <w:t xml:space="preserve">ς της γερμανικής οικονομίας </w:t>
            </w:r>
            <w:r w:rsidR="00633BB9">
              <w:rPr>
                <w:bCs/>
              </w:rPr>
              <w:t xml:space="preserve">προβλέπεται να κυμανθεί περί το 3,5% για το τρέχον έτος. </w:t>
            </w:r>
          </w:p>
          <w:p w:rsidR="00C35D72" w:rsidRDefault="00C35D72" w:rsidP="003226C0">
            <w:pPr>
              <w:jc w:val="both"/>
              <w:rPr>
                <w:b/>
                <w:bCs/>
              </w:rPr>
            </w:pPr>
          </w:p>
          <w:p w:rsidR="000A376E" w:rsidRDefault="000A376E" w:rsidP="0038224A">
            <w:pPr>
              <w:jc w:val="both"/>
              <w:rPr>
                <w:b/>
                <w:bCs/>
              </w:rPr>
            </w:pPr>
          </w:p>
          <w:p w:rsidR="003226C0" w:rsidRDefault="003226C0" w:rsidP="0038224A">
            <w:pPr>
              <w:jc w:val="both"/>
              <w:rPr>
                <w:b/>
                <w:bCs/>
              </w:rPr>
            </w:pPr>
          </w:p>
          <w:p w:rsidR="003226C0" w:rsidRDefault="003226C0" w:rsidP="0038224A">
            <w:pPr>
              <w:jc w:val="both"/>
              <w:rPr>
                <w:bCs/>
              </w:rPr>
            </w:pPr>
            <w:r w:rsidRPr="003226C0">
              <w:rPr>
                <w:bCs/>
              </w:rPr>
              <w:t xml:space="preserve">                                                                               Ο Προϊστάμενος </w:t>
            </w:r>
          </w:p>
          <w:p w:rsidR="003226C0" w:rsidRDefault="003226C0" w:rsidP="0038224A">
            <w:pPr>
              <w:jc w:val="both"/>
              <w:rPr>
                <w:bCs/>
              </w:rPr>
            </w:pPr>
          </w:p>
          <w:p w:rsidR="003226C0" w:rsidRDefault="003226C0" w:rsidP="0038224A">
            <w:pPr>
              <w:jc w:val="both"/>
              <w:rPr>
                <w:bCs/>
              </w:rPr>
            </w:pPr>
          </w:p>
          <w:p w:rsidR="003226C0" w:rsidRDefault="003226C0" w:rsidP="0038224A">
            <w:pPr>
              <w:jc w:val="both"/>
              <w:rPr>
                <w:bCs/>
              </w:rPr>
            </w:pPr>
            <w:r>
              <w:rPr>
                <w:bCs/>
              </w:rPr>
              <w:t xml:space="preserve">                                                                            Θεόδωρος </w:t>
            </w:r>
            <w:proofErr w:type="spellStart"/>
            <w:r>
              <w:rPr>
                <w:bCs/>
              </w:rPr>
              <w:t>Ξυπολιάς</w:t>
            </w:r>
            <w:proofErr w:type="spellEnd"/>
            <w:r>
              <w:rPr>
                <w:bCs/>
              </w:rPr>
              <w:t xml:space="preserve"> </w:t>
            </w:r>
          </w:p>
          <w:p w:rsidR="003226C0" w:rsidRPr="003226C0" w:rsidRDefault="003226C0" w:rsidP="0038224A">
            <w:pPr>
              <w:jc w:val="both"/>
              <w:rPr>
                <w:bCs/>
              </w:rPr>
            </w:pPr>
            <w:r>
              <w:rPr>
                <w:bCs/>
              </w:rPr>
              <w:t xml:space="preserve">                                                                             Σύμβουλος ΟΕΥ Α΄</w:t>
            </w:r>
          </w:p>
          <w:p w:rsidR="003226C0" w:rsidRDefault="003226C0" w:rsidP="0038224A">
            <w:pPr>
              <w:jc w:val="both"/>
              <w:rPr>
                <w:b/>
                <w:bCs/>
              </w:rPr>
            </w:pPr>
          </w:p>
          <w:p w:rsidR="003226C0" w:rsidRPr="003226C0" w:rsidRDefault="003226C0" w:rsidP="0038224A">
            <w:pPr>
              <w:jc w:val="both"/>
              <w:rPr>
                <w:b/>
                <w:bCs/>
              </w:rPr>
            </w:pPr>
          </w:p>
        </w:tc>
      </w:tr>
      <w:tr w:rsidR="00273E08" w:rsidRPr="00A27916" w:rsidTr="003226C0">
        <w:trPr>
          <w:gridAfter w:val="1"/>
          <w:wAfter w:w="295" w:type="dxa"/>
        </w:trPr>
        <w:tc>
          <w:tcPr>
            <w:tcW w:w="8946" w:type="dxa"/>
          </w:tcPr>
          <w:p w:rsidR="003C7B44" w:rsidRPr="000E0FD2" w:rsidRDefault="003C7B44" w:rsidP="00F152C7">
            <w:pPr>
              <w:rPr>
                <w:b/>
                <w:bCs/>
              </w:rPr>
            </w:pPr>
          </w:p>
        </w:tc>
      </w:tr>
      <w:tr w:rsidR="00273E08" w:rsidRPr="00A27916" w:rsidTr="003226C0">
        <w:trPr>
          <w:gridAfter w:val="1"/>
          <w:wAfter w:w="295" w:type="dxa"/>
        </w:trPr>
        <w:tc>
          <w:tcPr>
            <w:tcW w:w="8946" w:type="dxa"/>
          </w:tcPr>
          <w:p w:rsidR="000A1D64" w:rsidRDefault="000A1D64" w:rsidP="00B12DE8">
            <w:pPr>
              <w:jc w:val="both"/>
              <w:rPr>
                <w:b/>
                <w:bCs/>
              </w:rPr>
            </w:pPr>
          </w:p>
        </w:tc>
      </w:tr>
      <w:tr w:rsidR="00273E08" w:rsidRPr="00A27916" w:rsidTr="003226C0">
        <w:trPr>
          <w:gridAfter w:val="1"/>
          <w:wAfter w:w="295" w:type="dxa"/>
        </w:trPr>
        <w:tc>
          <w:tcPr>
            <w:tcW w:w="8946" w:type="dxa"/>
          </w:tcPr>
          <w:p w:rsidR="00273E08" w:rsidRDefault="00273E08" w:rsidP="00B12DE8">
            <w:pPr>
              <w:jc w:val="both"/>
              <w:rPr>
                <w:b/>
                <w:bCs/>
              </w:rPr>
            </w:pPr>
          </w:p>
        </w:tc>
      </w:tr>
    </w:tbl>
    <w:p w:rsidR="001D54DA" w:rsidRDefault="001D54DA"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Pr="003226C0" w:rsidRDefault="003226C0" w:rsidP="00E83978">
      <w:pPr>
        <w:spacing w:before="60" w:after="60" w:line="300" w:lineRule="auto"/>
        <w:ind w:right="-241"/>
        <w:jc w:val="both"/>
      </w:pPr>
      <w:r>
        <w:rPr>
          <w:b/>
          <w:sz w:val="6"/>
        </w:rPr>
        <w:tab/>
      </w:r>
      <w:r>
        <w:rPr>
          <w:b/>
          <w:sz w:val="6"/>
        </w:rPr>
        <w:tab/>
      </w:r>
      <w:r>
        <w:rPr>
          <w:b/>
          <w:sz w:val="6"/>
        </w:rPr>
        <w:tab/>
      </w:r>
      <w:r>
        <w:rPr>
          <w:b/>
          <w:sz w:val="6"/>
        </w:rPr>
        <w:tab/>
      </w:r>
      <w:r>
        <w:rPr>
          <w:b/>
          <w:sz w:val="6"/>
        </w:rPr>
        <w:tab/>
      </w:r>
      <w:r>
        <w:rPr>
          <w:b/>
          <w:sz w:val="6"/>
        </w:rPr>
        <w:tab/>
      </w:r>
    </w:p>
    <w:sectPr w:rsidR="003226C0" w:rsidRPr="003226C0"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EE" w:rsidRDefault="00BD45EE" w:rsidP="0014093E">
      <w:r>
        <w:separator/>
      </w:r>
    </w:p>
  </w:endnote>
  <w:endnote w:type="continuationSeparator" w:id="1">
    <w:p w:rsidR="00BD45EE" w:rsidRDefault="00BD45EE"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EE" w:rsidRPr="00AF2A95" w:rsidRDefault="00BD45EE" w:rsidP="0074232E">
    <w:pPr>
      <w:pStyle w:val="Footer"/>
      <w:jc w:val="right"/>
      <w:rPr>
        <w:b/>
        <w:sz w:val="2"/>
        <w:szCs w:val="2"/>
      </w:rPr>
    </w:pPr>
    <w:r>
      <w:rPr>
        <w:b/>
      </w:rPr>
      <w:t>_____________________________________________________________________</w:t>
    </w:r>
  </w:p>
  <w:p w:rsidR="00BD45EE" w:rsidRDefault="00BD45EE" w:rsidP="0074232E">
    <w:pPr>
      <w:pStyle w:val="Footer"/>
      <w:jc w:val="center"/>
      <w:rPr>
        <w:b/>
        <w:sz w:val="20"/>
        <w:szCs w:val="20"/>
      </w:rPr>
    </w:pPr>
    <w:r>
      <w:rPr>
        <w:b/>
        <w:sz w:val="20"/>
        <w:szCs w:val="20"/>
      </w:rPr>
      <w:t>ΑΔΙΑΒΑΘΜΗΤΟ - ΚΑΝΟΝΙΚΟ</w:t>
    </w:r>
  </w:p>
  <w:p w:rsidR="00BD45EE" w:rsidRPr="00914D01" w:rsidRDefault="00BD45EE"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A57718">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A57718">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EE" w:rsidRDefault="00BD45EE" w:rsidP="0014093E">
      <w:r>
        <w:separator/>
      </w:r>
    </w:p>
  </w:footnote>
  <w:footnote w:type="continuationSeparator" w:id="1">
    <w:p w:rsidR="00BD45EE" w:rsidRDefault="00BD45EE"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61454"/>
    <w:multiLevelType w:val="hybridMultilevel"/>
    <w:tmpl w:val="F8CAE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2CF31E53"/>
    <w:multiLevelType w:val="hybridMultilevel"/>
    <w:tmpl w:val="049C3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2">
    <w:nsid w:val="350C4649"/>
    <w:multiLevelType w:val="hybridMultilevel"/>
    <w:tmpl w:val="4C502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4">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9"/>
  </w:num>
  <w:num w:numId="11">
    <w:abstractNumId w:val="15"/>
  </w:num>
  <w:num w:numId="12">
    <w:abstractNumId w:val="13"/>
  </w:num>
  <w:num w:numId="13">
    <w:abstractNumId w:val="16"/>
  </w:num>
  <w:num w:numId="14">
    <w:abstractNumId w:val="20"/>
  </w:num>
  <w:num w:numId="15">
    <w:abstractNumId w:val="0"/>
  </w:num>
  <w:num w:numId="16">
    <w:abstractNumId w:val="21"/>
  </w:num>
  <w:num w:numId="17">
    <w:abstractNumId w:val="2"/>
  </w:num>
  <w:num w:numId="18">
    <w:abstractNumId w:val="24"/>
  </w:num>
  <w:num w:numId="19">
    <w:abstractNumId w:val="3"/>
  </w:num>
  <w:num w:numId="20">
    <w:abstractNumId w:val="1"/>
  </w:num>
  <w:num w:numId="21">
    <w:abstractNumId w:val="7"/>
  </w:num>
  <w:num w:numId="22">
    <w:abstractNumId w:val="6"/>
  </w:num>
  <w:num w:numId="23">
    <w:abstractNumId w:val="14"/>
  </w:num>
  <w:num w:numId="24">
    <w:abstractNumId w:val="25"/>
  </w:num>
  <w:num w:numId="25">
    <w:abstractNumId w:val="22"/>
  </w:num>
  <w:num w:numId="26">
    <w:abstractNumId w:val="10"/>
  </w:num>
  <w:num w:numId="27">
    <w:abstractNumId w:val="4"/>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71009"/>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4E7A"/>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376E"/>
    <w:rsid w:val="000A6CC7"/>
    <w:rsid w:val="000A75A7"/>
    <w:rsid w:val="000A7D08"/>
    <w:rsid w:val="000B0878"/>
    <w:rsid w:val="000B0921"/>
    <w:rsid w:val="000B276B"/>
    <w:rsid w:val="000B27EC"/>
    <w:rsid w:val="000B296A"/>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0FD2"/>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4557"/>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095C"/>
    <w:rsid w:val="001914BF"/>
    <w:rsid w:val="00193092"/>
    <w:rsid w:val="00194FC0"/>
    <w:rsid w:val="00195C3B"/>
    <w:rsid w:val="00196030"/>
    <w:rsid w:val="001A2C99"/>
    <w:rsid w:val="001A3308"/>
    <w:rsid w:val="001A5A3F"/>
    <w:rsid w:val="001A5EE6"/>
    <w:rsid w:val="001A682C"/>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4589"/>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3B27"/>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6C0"/>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24A"/>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07383"/>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3BB9"/>
    <w:rsid w:val="006365F9"/>
    <w:rsid w:val="00636D08"/>
    <w:rsid w:val="00636E60"/>
    <w:rsid w:val="00640264"/>
    <w:rsid w:val="00641383"/>
    <w:rsid w:val="00641AD5"/>
    <w:rsid w:val="006430B4"/>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57B5"/>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2633"/>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2CC"/>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B5777"/>
    <w:rsid w:val="008C5AD8"/>
    <w:rsid w:val="008C6014"/>
    <w:rsid w:val="008C65B5"/>
    <w:rsid w:val="008C6A88"/>
    <w:rsid w:val="008C75F1"/>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DE2"/>
    <w:rsid w:val="00A57153"/>
    <w:rsid w:val="00A57718"/>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D7E7F"/>
    <w:rsid w:val="00AE189C"/>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242A"/>
    <w:rsid w:val="00B43BD1"/>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45EE"/>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02E9"/>
    <w:rsid w:val="00C32140"/>
    <w:rsid w:val="00C3352D"/>
    <w:rsid w:val="00C34051"/>
    <w:rsid w:val="00C35D72"/>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54E"/>
    <w:rsid w:val="00CC5072"/>
    <w:rsid w:val="00CC52EF"/>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BDA"/>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86283"/>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17C0"/>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DE889-1D3C-4809-A8B9-338E8131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2021-03-23T14:44:00Z</cp:lastPrinted>
  <dcterms:created xsi:type="dcterms:W3CDTF">2021-03-23T14:44:00Z</dcterms:created>
  <dcterms:modified xsi:type="dcterms:W3CDTF">2021-03-23T14:44:00Z</dcterms:modified>
</cp:coreProperties>
</file>