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6056254"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BB2289">
                    <w:rPr>
                      <w:rFonts w:asciiTheme="majorHAnsi" w:hAnsiTheme="majorHAnsi"/>
                      <w:lang w:val="en-GB"/>
                    </w:rPr>
                    <w:t xml:space="preserve"> 24</w:t>
                  </w:r>
                  <w:r w:rsidR="003D4683" w:rsidRPr="00610E20">
                    <w:rPr>
                      <w:rFonts w:asciiTheme="majorHAnsi" w:hAnsiTheme="majorHAnsi"/>
                      <w:lang w:val="en-GB"/>
                    </w:rPr>
                    <w:t xml:space="preserve"> </w:t>
                  </w:r>
                  <w:r w:rsidR="00EE7690" w:rsidRPr="00610E20">
                    <w:rPr>
                      <w:rFonts w:asciiTheme="majorHAnsi" w:hAnsiTheme="majorHAnsi"/>
                      <w:lang w:val="en-GB"/>
                    </w:rPr>
                    <w:t>Io</w:t>
                  </w:r>
                  <w:proofErr w:type="spellStart"/>
                  <w:r w:rsidR="00EE7690" w:rsidRPr="00610E20">
                    <w:rPr>
                      <w:rFonts w:asciiTheme="majorHAnsi" w:hAnsiTheme="majorHAnsi"/>
                    </w:rPr>
                    <w:t>υνίου</w:t>
                  </w:r>
                  <w:proofErr w:type="spellEnd"/>
                  <w:r w:rsidR="00EE7690" w:rsidRPr="00610E20">
                    <w:rPr>
                      <w:rFonts w:asciiTheme="majorHAnsi" w:hAnsiTheme="majorHAnsi"/>
                    </w:rPr>
                    <w:t xml:space="preserve"> </w:t>
                  </w:r>
                  <w:r w:rsidR="008F4923" w:rsidRPr="00610E20">
                    <w:rPr>
                      <w:rFonts w:asciiTheme="majorHAnsi" w:hAnsiTheme="majorHAnsi"/>
                    </w:rPr>
                    <w:t>2021</w:t>
                  </w:r>
                </w:p>
              </w:tc>
            </w:tr>
            <w:tr w:rsidR="00236C82" w:rsidRPr="00610E20" w:rsidTr="00782E71">
              <w:tc>
                <w:tcPr>
                  <w:tcW w:w="3827" w:type="dxa"/>
                </w:tcPr>
                <w:p w:rsidR="00236C82" w:rsidRPr="00BE6A78"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2D2D60">
                    <w:rPr>
                      <w:rFonts w:asciiTheme="majorHAnsi" w:hAnsiTheme="majorHAnsi"/>
                    </w:rPr>
                    <w:t xml:space="preserve"> 1489</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F34C29" w:rsidRDefault="00F34C29" w:rsidP="00E33F6B">
            <w:pPr>
              <w:pStyle w:val="ListParagraph"/>
              <w:numPr>
                <w:ilvl w:val="0"/>
                <w:numId w:val="32"/>
              </w:numPr>
              <w:ind w:left="321" w:hanging="283"/>
              <w:rPr>
                <w:rFonts w:asciiTheme="majorHAnsi" w:hAnsiTheme="majorHAnsi"/>
                <w:b/>
              </w:rPr>
            </w:pPr>
            <w:r w:rsidRPr="00F34C29">
              <w:rPr>
                <w:rFonts w:asciiTheme="majorHAnsi" w:hAnsiTheme="majorHAnsi"/>
                <w:b/>
              </w:rPr>
              <w:t xml:space="preserve">Υπουργείο Αγροτικής Ανάπτυξης και Τροφίμων </w:t>
            </w:r>
          </w:p>
          <w:p w:rsidR="00F34C29" w:rsidRPr="00F34C29" w:rsidRDefault="00F34C29" w:rsidP="00E33F6B">
            <w:pPr>
              <w:pStyle w:val="ListParagraph"/>
              <w:numPr>
                <w:ilvl w:val="0"/>
                <w:numId w:val="32"/>
              </w:numPr>
              <w:ind w:left="321" w:hanging="283"/>
              <w:rPr>
                <w:rFonts w:asciiTheme="majorHAnsi" w:hAnsiTheme="majorHAnsi"/>
                <w:b/>
              </w:rPr>
            </w:pPr>
            <w:r w:rsidRPr="00F34C29">
              <w:rPr>
                <w:rFonts w:asciiTheme="majorHAnsi" w:hAnsiTheme="majorHAnsi"/>
                <w:b/>
              </w:rPr>
              <w:t>Γενική Γραμματεία Αγροτικής Ανάπτυξης &amp; Τροφίμων (</w:t>
            </w:r>
            <w:proofErr w:type="spellStart"/>
            <w:r w:rsidRPr="00F34C29">
              <w:rPr>
                <w:rFonts w:asciiTheme="majorHAnsi" w:hAnsiTheme="majorHAnsi"/>
                <w:b/>
              </w:rPr>
              <w:t>μ.η</w:t>
            </w:r>
            <w:proofErr w:type="spellEnd"/>
            <w:r w:rsidRPr="00F34C29">
              <w:rPr>
                <w:rFonts w:asciiTheme="majorHAnsi" w:hAnsiTheme="majorHAnsi"/>
                <w:b/>
              </w:rPr>
              <w:t>.)</w:t>
            </w:r>
          </w:p>
          <w:p w:rsidR="00F34C29" w:rsidRPr="00F34C29" w:rsidRDefault="00F34C29" w:rsidP="00E33F6B">
            <w:pPr>
              <w:pStyle w:val="ListParagraph"/>
              <w:numPr>
                <w:ilvl w:val="0"/>
                <w:numId w:val="32"/>
              </w:numPr>
              <w:ind w:left="321" w:hanging="283"/>
              <w:rPr>
                <w:rFonts w:asciiTheme="majorHAnsi" w:hAnsiTheme="majorHAnsi"/>
              </w:rPr>
            </w:pPr>
            <w:r w:rsidRPr="00F34C29">
              <w:rPr>
                <w:rFonts w:asciiTheme="majorHAnsi" w:hAnsiTheme="majorHAnsi"/>
              </w:rPr>
              <w:t>Γενική Διεύθυνση Γεωργίας (μέσω ημών)</w:t>
            </w:r>
          </w:p>
          <w:p w:rsidR="00F34C29" w:rsidRPr="00F34C29" w:rsidRDefault="00F34C29" w:rsidP="00E33F6B">
            <w:pPr>
              <w:pStyle w:val="ListParagraph"/>
              <w:numPr>
                <w:ilvl w:val="0"/>
                <w:numId w:val="32"/>
              </w:numPr>
              <w:ind w:left="321" w:hanging="283"/>
              <w:rPr>
                <w:rFonts w:asciiTheme="majorHAnsi" w:hAnsiTheme="majorHAnsi"/>
              </w:rPr>
            </w:pPr>
            <w:r w:rsidRPr="00F34C29">
              <w:rPr>
                <w:rFonts w:asciiTheme="majorHAnsi" w:hAnsiTheme="majorHAnsi"/>
                <w:b/>
              </w:rPr>
              <w:t>Γενική Γραμματεία</w:t>
            </w:r>
            <w:r>
              <w:rPr>
                <w:rFonts w:asciiTheme="majorHAnsi" w:hAnsiTheme="majorHAnsi"/>
              </w:rPr>
              <w:t xml:space="preserve"> </w:t>
            </w:r>
            <w:r w:rsidRPr="00F34C29">
              <w:rPr>
                <w:rFonts w:asciiTheme="majorHAnsi" w:hAnsiTheme="majorHAnsi"/>
                <w:b/>
              </w:rPr>
              <w:t>Αγροτικής Πολιτικής και Διαχείρισης Κοινοτικών Πόρων (μέσω ημών)</w:t>
            </w:r>
          </w:p>
          <w:p w:rsidR="00F34C29" w:rsidRPr="00F34C29" w:rsidRDefault="00F34C29" w:rsidP="00F34C29">
            <w:pPr>
              <w:ind w:left="321"/>
              <w:rPr>
                <w:rFonts w:asciiTheme="majorHAnsi" w:hAnsiTheme="majorHAnsi"/>
              </w:rPr>
            </w:pPr>
            <w:r w:rsidRPr="00F34C29">
              <w:rPr>
                <w:rFonts w:asciiTheme="majorHAnsi" w:hAnsiTheme="majorHAnsi"/>
              </w:rPr>
              <w:t>Διεύθυνση Αγροτικής Πολιτικής, Τεκμηρίωσης και Διεθνών Σχέσεων (μέσω ημών)</w:t>
            </w:r>
          </w:p>
        </w:tc>
      </w:tr>
      <w:tr w:rsidR="00C20C27" w:rsidRPr="00610E20" w:rsidTr="00940FB2">
        <w:tc>
          <w:tcPr>
            <w:tcW w:w="1240" w:type="dxa"/>
            <w:hideMark/>
          </w:tcPr>
          <w:p w:rsidR="00C20C27" w:rsidRPr="00F34C29" w:rsidRDefault="00C20C27" w:rsidP="002E11C9">
            <w:pPr>
              <w:rPr>
                <w:rFonts w:asciiTheme="majorHAnsi" w:hAnsiTheme="majorHAnsi"/>
                <w:b/>
                <w:bCs/>
              </w:rPr>
            </w:pPr>
            <w:r w:rsidRPr="00610E20">
              <w:rPr>
                <w:rFonts w:asciiTheme="majorHAnsi" w:hAnsiTheme="majorHAnsi"/>
                <w:b/>
                <w:bCs/>
              </w:rPr>
              <w:t>ΚΟΙΝ.:</w:t>
            </w: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p w:rsidR="00341856" w:rsidRPr="00F34C29" w:rsidRDefault="00341856" w:rsidP="002E11C9">
            <w:pPr>
              <w:rPr>
                <w:rFonts w:asciiTheme="majorHAnsi" w:hAnsiTheme="majorHAnsi"/>
                <w:b/>
                <w:bCs/>
              </w:rPr>
            </w:pPr>
          </w:p>
        </w:tc>
        <w:tc>
          <w:tcPr>
            <w:tcW w:w="7092" w:type="dxa"/>
            <w:hideMark/>
          </w:tcPr>
          <w:p w:rsidR="00352B43" w:rsidRPr="00352B43" w:rsidRDefault="00352B43" w:rsidP="002E11C9">
            <w:pPr>
              <w:pStyle w:val="ListParagraph"/>
              <w:numPr>
                <w:ilvl w:val="0"/>
                <w:numId w:val="28"/>
              </w:numPr>
              <w:jc w:val="both"/>
              <w:rPr>
                <w:rFonts w:asciiTheme="majorHAnsi" w:hAnsiTheme="majorHAnsi"/>
                <w:b/>
                <w:bCs/>
              </w:rPr>
            </w:pPr>
            <w:r w:rsidRPr="00352B43">
              <w:rPr>
                <w:rFonts w:asciiTheme="majorHAnsi" w:hAnsiTheme="majorHAnsi"/>
                <w:b/>
                <w:bCs/>
              </w:rPr>
              <w:t xml:space="preserve">Υπουργείο Εξωτερικών </w:t>
            </w:r>
          </w:p>
          <w:p w:rsidR="00C20C27" w:rsidRPr="00610E20" w:rsidRDefault="00C20C27" w:rsidP="002E11C9">
            <w:pPr>
              <w:pStyle w:val="ListParagraph"/>
              <w:numPr>
                <w:ilvl w:val="0"/>
                <w:numId w:val="28"/>
              </w:numPr>
              <w:jc w:val="both"/>
              <w:rPr>
                <w:rFonts w:asciiTheme="majorHAnsi" w:hAnsiTheme="majorHAnsi"/>
                <w:bCs/>
              </w:rPr>
            </w:pPr>
            <w:proofErr w:type="spellStart"/>
            <w:r w:rsidRPr="00610E20">
              <w:rPr>
                <w:rFonts w:asciiTheme="majorHAnsi" w:hAnsiTheme="majorHAnsi"/>
                <w:bCs/>
              </w:rPr>
              <w:t>Διπλ</w:t>
            </w:r>
            <w:proofErr w:type="spellEnd"/>
            <w:r w:rsidRPr="00610E20">
              <w:rPr>
                <w:rFonts w:asciiTheme="majorHAnsi" w:hAnsiTheme="majorHAnsi"/>
                <w:bCs/>
              </w:rPr>
              <w:t xml:space="preserve">.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F34C29">
              <w:rPr>
                <w:rFonts w:asciiTheme="majorHAnsi" w:hAnsiTheme="majorHAnsi"/>
              </w:rPr>
              <w:t xml:space="preserve">1, </w:t>
            </w:r>
            <w:r w:rsidR="00F34C29">
              <w:rPr>
                <w:rFonts w:asciiTheme="majorHAnsi" w:hAnsiTheme="majorHAnsi"/>
                <w:lang w:val="en-GB"/>
              </w:rPr>
              <w:t xml:space="preserve">B2 &amp; Β3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D05090" w:rsidRPr="00610E20"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F34C29">
        <w:rPr>
          <w:rFonts w:asciiTheme="majorHAnsi" w:hAnsiTheme="majorHAnsi"/>
          <w:b/>
          <w:bCs/>
        </w:rPr>
        <w:t>20</w:t>
      </w:r>
      <w:r w:rsidR="00F34C29" w:rsidRPr="00F34C29">
        <w:rPr>
          <w:rFonts w:asciiTheme="majorHAnsi" w:hAnsiTheme="majorHAnsi"/>
          <w:b/>
          <w:bCs/>
          <w:vertAlign w:val="superscript"/>
        </w:rPr>
        <w:t>η</w:t>
      </w:r>
      <w:r w:rsidR="00F34C29">
        <w:rPr>
          <w:rFonts w:asciiTheme="majorHAnsi" w:hAnsiTheme="majorHAnsi"/>
          <w:b/>
          <w:bCs/>
        </w:rPr>
        <w:t xml:space="preserve"> Επέτειος της χρήσεως της βιολογικής ετικέτας τροφίμων – Ομιλία της</w:t>
      </w:r>
      <w:r w:rsidR="002D2D60">
        <w:rPr>
          <w:rFonts w:asciiTheme="majorHAnsi" w:hAnsiTheme="majorHAnsi"/>
          <w:b/>
          <w:bCs/>
        </w:rPr>
        <w:t xml:space="preserve"> Γερμανίδας </w:t>
      </w:r>
      <w:r w:rsidR="00F34C29">
        <w:rPr>
          <w:rFonts w:asciiTheme="majorHAnsi" w:hAnsiTheme="majorHAnsi"/>
          <w:b/>
          <w:bCs/>
        </w:rPr>
        <w:t>Ομοσπονδιακής Υπουργού Τροφίμων και Γεωργίας ενώπιον του</w:t>
      </w:r>
      <w:r w:rsidR="002D2D60">
        <w:rPr>
          <w:rFonts w:asciiTheme="majorHAnsi" w:hAnsiTheme="majorHAnsi"/>
          <w:b/>
          <w:bCs/>
        </w:rPr>
        <w:t xml:space="preserve"> Γερμανικού </w:t>
      </w:r>
      <w:r w:rsidR="00F34C29">
        <w:rPr>
          <w:rFonts w:asciiTheme="majorHAnsi" w:hAnsiTheme="majorHAnsi"/>
          <w:b/>
          <w:bCs/>
        </w:rPr>
        <w:t>Ομοσπονδιακού Κοινοβουλίου</w:t>
      </w:r>
      <w:r w:rsidRPr="00610E20">
        <w:rPr>
          <w:rFonts w:asciiTheme="majorHAnsi" w:hAnsiTheme="majorHAnsi"/>
          <w:b/>
          <w:bCs/>
          <w:i/>
        </w:rPr>
        <w:t>»</w:t>
      </w:r>
    </w:p>
    <w:p w:rsidR="002E1471" w:rsidRDefault="002E1471" w:rsidP="001D50A2">
      <w:pPr>
        <w:jc w:val="both"/>
        <w:rPr>
          <w:rFonts w:asciiTheme="majorHAnsi" w:hAnsiTheme="majorHAnsi"/>
          <w:b/>
          <w:bCs/>
          <w:i/>
        </w:rPr>
      </w:pPr>
    </w:p>
    <w:p w:rsidR="00610E20" w:rsidRDefault="00F34C29" w:rsidP="001D50A2">
      <w:pPr>
        <w:jc w:val="both"/>
        <w:rPr>
          <w:rFonts w:asciiTheme="majorHAnsi" w:hAnsiTheme="majorHAnsi"/>
          <w:bCs/>
        </w:rPr>
      </w:pPr>
      <w:r>
        <w:rPr>
          <w:rFonts w:asciiTheme="majorHAnsi" w:hAnsiTheme="majorHAnsi"/>
          <w:bCs/>
        </w:rPr>
        <w:t>Με</w:t>
      </w:r>
      <w:r w:rsidR="002D2D60">
        <w:rPr>
          <w:rFonts w:asciiTheme="majorHAnsi" w:hAnsiTheme="majorHAnsi"/>
          <w:bCs/>
        </w:rPr>
        <w:t xml:space="preserve"> αφορμή την επέτειο </w:t>
      </w:r>
      <w:r>
        <w:rPr>
          <w:rFonts w:asciiTheme="majorHAnsi" w:hAnsiTheme="majorHAnsi"/>
          <w:bCs/>
        </w:rPr>
        <w:t xml:space="preserve">20 ετών από την εισαγωγή και χρήση της βιολογικής ετικέτας τροφίμων, η Γερμανίδα Ομοσπονδιακή Υπουργός Τροφίμων και Γεωργίας, </w:t>
      </w:r>
      <w:r>
        <w:rPr>
          <w:rFonts w:asciiTheme="majorHAnsi" w:hAnsiTheme="majorHAnsi"/>
          <w:bCs/>
          <w:lang w:val="de-DE"/>
        </w:rPr>
        <w:t>Julia</w:t>
      </w:r>
      <w:r w:rsidRPr="00F34C29">
        <w:rPr>
          <w:rFonts w:asciiTheme="majorHAnsi" w:hAnsiTheme="majorHAnsi"/>
          <w:bCs/>
        </w:rPr>
        <w:t xml:space="preserve"> </w:t>
      </w:r>
      <w:proofErr w:type="spellStart"/>
      <w:r>
        <w:rPr>
          <w:rFonts w:asciiTheme="majorHAnsi" w:hAnsiTheme="majorHAnsi"/>
          <w:bCs/>
          <w:lang w:val="de-DE"/>
        </w:rPr>
        <w:lastRenderedPageBreak/>
        <w:t>Kl</w:t>
      </w:r>
      <w:proofErr w:type="spellEnd"/>
      <w:r w:rsidRPr="00F34C29">
        <w:rPr>
          <w:rFonts w:asciiTheme="majorHAnsi" w:hAnsiTheme="majorHAnsi"/>
          <w:bCs/>
        </w:rPr>
        <w:t>ö</w:t>
      </w:r>
      <w:proofErr w:type="spellStart"/>
      <w:r>
        <w:rPr>
          <w:rFonts w:asciiTheme="majorHAnsi" w:hAnsiTheme="majorHAnsi"/>
          <w:bCs/>
          <w:lang w:val="de-DE"/>
        </w:rPr>
        <w:t>ckner</w:t>
      </w:r>
      <w:proofErr w:type="spellEnd"/>
      <w:r w:rsidR="00C04FA1">
        <w:rPr>
          <w:rFonts w:asciiTheme="majorHAnsi" w:hAnsiTheme="majorHAnsi"/>
          <w:bCs/>
        </w:rPr>
        <w:t xml:space="preserve"> σε ομιλία της ενώπιον του Ομοσπονδιακού Κοινοβουλίου προέβη σε μία συνοπτική παρουσίαση της όλης κατάστασης στην αγορά τροφίμων και ιδιαίτερα εκείνη των βιολογικών τροφίμων, ιδιαίτερα μετά την υιοθέτηση και εισαγωγή της βιολογικής – οργανι</w:t>
      </w:r>
      <w:r w:rsidR="002D2D60">
        <w:rPr>
          <w:rFonts w:asciiTheme="majorHAnsi" w:hAnsiTheme="majorHAnsi"/>
          <w:bCs/>
        </w:rPr>
        <w:t xml:space="preserve">κής ετικέτας. Αρχικά ανέφερε, ως επιτυχημένη εξέλιξη, </w:t>
      </w:r>
      <w:r w:rsidR="00352B43">
        <w:rPr>
          <w:rFonts w:asciiTheme="majorHAnsi" w:hAnsiTheme="majorHAnsi"/>
          <w:bCs/>
        </w:rPr>
        <w:t xml:space="preserve">την ολοκλήρωση </w:t>
      </w:r>
      <w:r w:rsidR="00C04FA1">
        <w:rPr>
          <w:rFonts w:asciiTheme="majorHAnsi" w:hAnsiTheme="majorHAnsi"/>
          <w:bCs/>
        </w:rPr>
        <w:t xml:space="preserve">20ετίας, </w:t>
      </w:r>
      <w:r w:rsidR="00352B43">
        <w:rPr>
          <w:rFonts w:asciiTheme="majorHAnsi" w:hAnsiTheme="majorHAnsi"/>
          <w:bCs/>
        </w:rPr>
        <w:t xml:space="preserve">για εισαγωγή και χρήση της </w:t>
      </w:r>
      <w:r w:rsidR="00C04FA1">
        <w:rPr>
          <w:rFonts w:asciiTheme="majorHAnsi" w:hAnsiTheme="majorHAnsi"/>
          <w:bCs/>
        </w:rPr>
        <w:t>βιολογικής – οργανικής ετικέτας. Το γεγονός αυτό αποτέλεσε, όπως ανέφερε και η ίδια, μία σημαντική ανακάλυψη. Η βιολογική – οργανική ετικέτα έχει γίνει πλέον απαραίτητο εξάρτημα σε όλο και περισσότερες συσκευασίες. Ο τομέας του λιανεμπορίου υπήρξε ο πρώτος</w:t>
      </w:r>
      <w:r w:rsidR="002D2D60">
        <w:rPr>
          <w:rFonts w:asciiTheme="majorHAnsi" w:hAnsiTheme="majorHAnsi"/>
          <w:bCs/>
        </w:rPr>
        <w:t xml:space="preserve"> που εισήγαγε τη </w:t>
      </w:r>
      <w:r w:rsidR="00C04FA1">
        <w:rPr>
          <w:rFonts w:asciiTheme="majorHAnsi" w:hAnsiTheme="majorHAnsi"/>
          <w:bCs/>
        </w:rPr>
        <w:t xml:space="preserve">συγκεκριμένη ετικέτα καθώς και οι μεγάλες αλυσίδες τροφίμων και τα </w:t>
      </w:r>
      <w:r w:rsidR="00C04FA1">
        <w:rPr>
          <w:rFonts w:asciiTheme="majorHAnsi" w:hAnsiTheme="majorHAnsi"/>
          <w:bCs/>
          <w:lang w:val="de-DE"/>
        </w:rPr>
        <w:t>Super</w:t>
      </w:r>
      <w:r w:rsidR="00C04FA1" w:rsidRPr="00C04FA1">
        <w:rPr>
          <w:rFonts w:asciiTheme="majorHAnsi" w:hAnsiTheme="majorHAnsi"/>
          <w:bCs/>
        </w:rPr>
        <w:t>-</w:t>
      </w:r>
      <w:r w:rsidR="00C04FA1">
        <w:rPr>
          <w:rFonts w:asciiTheme="majorHAnsi" w:hAnsiTheme="majorHAnsi"/>
          <w:bCs/>
        </w:rPr>
        <w:t>Μ</w:t>
      </w:r>
      <w:proofErr w:type="spellStart"/>
      <w:r w:rsidR="00C04FA1">
        <w:rPr>
          <w:rFonts w:asciiTheme="majorHAnsi" w:hAnsiTheme="majorHAnsi"/>
          <w:bCs/>
          <w:lang w:val="de-DE"/>
        </w:rPr>
        <w:t>arkets</w:t>
      </w:r>
      <w:proofErr w:type="spellEnd"/>
      <w:r w:rsidR="00C04FA1" w:rsidRPr="00C04FA1">
        <w:rPr>
          <w:rFonts w:asciiTheme="majorHAnsi" w:hAnsiTheme="majorHAnsi"/>
          <w:bCs/>
        </w:rPr>
        <w:t xml:space="preserve">. </w:t>
      </w:r>
      <w:r w:rsidR="00C04FA1">
        <w:rPr>
          <w:rFonts w:asciiTheme="majorHAnsi" w:hAnsiTheme="majorHAnsi"/>
          <w:bCs/>
        </w:rPr>
        <w:t xml:space="preserve">Επίσης η σύνδεση της βιολογικής ετικέτας με το νομικό πλαίσιο της Ευρωπαϊκής </w:t>
      </w:r>
      <w:proofErr w:type="spellStart"/>
      <w:r w:rsidR="00C04FA1">
        <w:rPr>
          <w:rFonts w:asciiTheme="majorHAnsi" w:hAnsiTheme="majorHAnsi"/>
          <w:bCs/>
        </w:rPr>
        <w:t>Ενωσης</w:t>
      </w:r>
      <w:proofErr w:type="spellEnd"/>
      <w:r w:rsidR="00C04FA1">
        <w:rPr>
          <w:rFonts w:asciiTheme="majorHAnsi" w:hAnsiTheme="majorHAnsi"/>
          <w:bCs/>
        </w:rPr>
        <w:t xml:space="preserve"> ήταν αναμφίβολα καθοριστική για τις μετέπειτα εξελίξεις και την οριστική υιοθέτηση της βιολογικής – οργανικής ετικέ</w:t>
      </w:r>
      <w:r w:rsidR="00352B43">
        <w:rPr>
          <w:rFonts w:asciiTheme="majorHAnsi" w:hAnsiTheme="majorHAnsi"/>
          <w:bCs/>
        </w:rPr>
        <w:t xml:space="preserve">τας, </w:t>
      </w:r>
      <w:r w:rsidR="00C04FA1">
        <w:rPr>
          <w:rFonts w:asciiTheme="majorHAnsi" w:hAnsiTheme="majorHAnsi"/>
          <w:bCs/>
        </w:rPr>
        <w:t>ως απαραίτητης για τις περισσότερες κατηγορίες τροφίμων.</w:t>
      </w:r>
    </w:p>
    <w:p w:rsidR="00C04FA1" w:rsidRDefault="00C04FA1" w:rsidP="001D50A2">
      <w:pPr>
        <w:jc w:val="both"/>
        <w:rPr>
          <w:rFonts w:asciiTheme="majorHAnsi" w:hAnsiTheme="majorHAnsi"/>
          <w:bCs/>
        </w:rPr>
      </w:pPr>
    </w:p>
    <w:p w:rsidR="00C04FA1" w:rsidRDefault="00C04FA1" w:rsidP="001D50A2">
      <w:pPr>
        <w:jc w:val="both"/>
        <w:rPr>
          <w:rFonts w:asciiTheme="majorHAnsi" w:hAnsiTheme="majorHAnsi"/>
          <w:bCs/>
        </w:rPr>
      </w:pPr>
      <w:r>
        <w:rPr>
          <w:rFonts w:asciiTheme="majorHAnsi" w:hAnsiTheme="majorHAnsi"/>
          <w:bCs/>
        </w:rPr>
        <w:t>Σήμερα, και σύμφωνα με</w:t>
      </w:r>
      <w:r w:rsidR="00F9715D" w:rsidRPr="00F9715D">
        <w:rPr>
          <w:rFonts w:asciiTheme="majorHAnsi" w:hAnsiTheme="majorHAnsi"/>
          <w:bCs/>
        </w:rPr>
        <w:t xml:space="preserve"> τελευτα</w:t>
      </w:r>
      <w:r w:rsidR="00F9715D">
        <w:rPr>
          <w:rFonts w:asciiTheme="majorHAnsi" w:hAnsiTheme="majorHAnsi"/>
          <w:bCs/>
        </w:rPr>
        <w:t xml:space="preserve">ία έρευνα του </w:t>
      </w:r>
      <w:r w:rsidR="008D612C">
        <w:rPr>
          <w:rFonts w:asciiTheme="majorHAnsi" w:hAnsiTheme="majorHAnsi"/>
          <w:bCs/>
        </w:rPr>
        <w:t>γ/</w:t>
      </w:r>
      <w:r w:rsidR="00F9715D">
        <w:rPr>
          <w:rFonts w:asciiTheme="majorHAnsi" w:hAnsiTheme="majorHAnsi"/>
          <w:bCs/>
        </w:rPr>
        <w:t>Ομοσπονδιακού Υπουργείου Τροφίμων και Γεωργίας, περίπου το 96</w:t>
      </w:r>
      <w:r w:rsidR="00352B43">
        <w:rPr>
          <w:rFonts w:asciiTheme="majorHAnsi" w:hAnsiTheme="majorHAnsi"/>
          <w:bCs/>
        </w:rPr>
        <w:t xml:space="preserve">% των καταναλωτών γνωρίζουν τη </w:t>
      </w:r>
      <w:r w:rsidR="00F9715D">
        <w:rPr>
          <w:rFonts w:asciiTheme="majorHAnsi" w:hAnsiTheme="majorHAnsi"/>
          <w:bCs/>
        </w:rPr>
        <w:t xml:space="preserve">βιολογική ετικέτα. Ένα ποσοστό της τάξεως του 60% δίνουν </w:t>
      </w:r>
      <w:r w:rsidR="00352B43">
        <w:rPr>
          <w:rFonts w:asciiTheme="majorHAnsi" w:hAnsiTheme="majorHAnsi"/>
          <w:bCs/>
        </w:rPr>
        <w:t xml:space="preserve">ιδιαίτερη προσοχή για τη </w:t>
      </w:r>
      <w:r w:rsidR="00F9715D">
        <w:rPr>
          <w:rFonts w:asciiTheme="majorHAnsi" w:hAnsiTheme="majorHAnsi"/>
          <w:bCs/>
        </w:rPr>
        <w:t>βιολογική ετικέτα, ενώ η βάσ</w:t>
      </w:r>
      <w:r w:rsidR="008D612C">
        <w:rPr>
          <w:rFonts w:asciiTheme="majorHAnsi" w:hAnsiTheme="majorHAnsi"/>
          <w:bCs/>
        </w:rPr>
        <w:t xml:space="preserve">η δεδομένων </w:t>
      </w:r>
      <w:r w:rsidR="00F9715D">
        <w:rPr>
          <w:rFonts w:asciiTheme="majorHAnsi" w:hAnsiTheme="majorHAnsi"/>
          <w:bCs/>
        </w:rPr>
        <w:t xml:space="preserve">απαριθμεί σήμερα σχεδόν 93.000 προϊόντα από περισσότερες από 6.000 επιχειρήσεις συμπεριλαμβανομένων διαφόρων ειδών τροφίμων, αλλά και καλλωπιστικών φυτών και σπόρων. </w:t>
      </w:r>
    </w:p>
    <w:p w:rsidR="00F9715D" w:rsidRDefault="00F9715D" w:rsidP="001D50A2">
      <w:pPr>
        <w:jc w:val="both"/>
        <w:rPr>
          <w:rFonts w:asciiTheme="majorHAnsi" w:hAnsiTheme="majorHAnsi"/>
          <w:bCs/>
        </w:rPr>
      </w:pPr>
    </w:p>
    <w:p w:rsidR="00F9715D" w:rsidRDefault="00F9715D" w:rsidP="001D50A2">
      <w:pPr>
        <w:jc w:val="both"/>
        <w:rPr>
          <w:rFonts w:asciiTheme="majorHAnsi" w:hAnsiTheme="majorHAnsi"/>
          <w:bCs/>
        </w:rPr>
      </w:pPr>
      <w:r>
        <w:rPr>
          <w:rFonts w:asciiTheme="majorHAnsi" w:hAnsiTheme="majorHAnsi"/>
          <w:bCs/>
        </w:rPr>
        <w:t>Όπως αναφέρει στην εισήγησή της, η Ομοσπονδιακή Υπουργός Τροφίμων και Γεωργίας, οι συνολικές πωλήσεις βιολογικών τροφίμων και ποτών ανέρχονται σε 14 δις ε</w:t>
      </w:r>
      <w:r w:rsidR="00352B43">
        <w:rPr>
          <w:rFonts w:asciiTheme="majorHAnsi" w:hAnsiTheme="majorHAnsi"/>
          <w:bCs/>
        </w:rPr>
        <w:t>υρώ περίπου, δίδοντας έτσι στη Γερμανία</w:t>
      </w:r>
      <w:r w:rsidR="008D612C">
        <w:rPr>
          <w:rFonts w:asciiTheme="majorHAnsi" w:hAnsiTheme="majorHAnsi"/>
          <w:bCs/>
        </w:rPr>
        <w:t xml:space="preserve"> τη πρώτη θέση </w:t>
      </w:r>
      <w:r>
        <w:rPr>
          <w:rFonts w:asciiTheme="majorHAnsi" w:hAnsiTheme="majorHAnsi"/>
          <w:bCs/>
        </w:rPr>
        <w:t>στην Ευρώπη. Επίσης τονίζει ότι η Γερμανική Ομοσπονδιακή Κυβέρνηση έχει καθορίσει συγ</w:t>
      </w:r>
      <w:r w:rsidR="00352B43">
        <w:rPr>
          <w:rFonts w:asciiTheme="majorHAnsi" w:hAnsiTheme="majorHAnsi"/>
          <w:bCs/>
        </w:rPr>
        <w:t xml:space="preserve">κεκριμένο στόχο έως το 2030 </w:t>
      </w:r>
      <w:r>
        <w:rPr>
          <w:rFonts w:asciiTheme="majorHAnsi" w:hAnsiTheme="majorHAnsi"/>
          <w:bCs/>
        </w:rPr>
        <w:t xml:space="preserve">ένα μερίδιο της τάξεως του 20% να ανήκει αποκλειστικά στην βιολογική γεωργία. </w:t>
      </w:r>
      <w:r w:rsidR="00352B43">
        <w:rPr>
          <w:rFonts w:asciiTheme="majorHAnsi" w:hAnsiTheme="majorHAnsi"/>
          <w:bCs/>
        </w:rPr>
        <w:t>Οι ρυθμοί ανάπτυξης για την βιολογική γεωργία και η ολοένα και περισσότερη αύξηση στη ζήτηση βιολογικών προϊόντων αποδεικνύουν ότι τα μέτρα που έλαβε η Ομοσπονδιακή Κυβέρνηση λειτουργούν αποτελεσματικά.</w:t>
      </w:r>
    </w:p>
    <w:p w:rsidR="00352B43" w:rsidRDefault="00352B43" w:rsidP="001D50A2">
      <w:pPr>
        <w:jc w:val="both"/>
        <w:rPr>
          <w:rFonts w:asciiTheme="majorHAnsi" w:hAnsiTheme="majorHAnsi"/>
          <w:bCs/>
        </w:rPr>
      </w:pPr>
    </w:p>
    <w:p w:rsidR="00352B43" w:rsidRDefault="00352B43" w:rsidP="001D50A2">
      <w:pPr>
        <w:jc w:val="both"/>
        <w:rPr>
          <w:rFonts w:asciiTheme="majorHAnsi" w:hAnsiTheme="majorHAnsi"/>
          <w:bCs/>
        </w:rPr>
      </w:pPr>
      <w:r>
        <w:rPr>
          <w:rFonts w:asciiTheme="majorHAnsi" w:hAnsiTheme="majorHAnsi"/>
          <w:bCs/>
        </w:rPr>
        <w:t>Η κυβερνητική αξιωματούχος προσέθεσε</w:t>
      </w:r>
      <w:r w:rsidR="008D612C">
        <w:rPr>
          <w:rFonts w:asciiTheme="majorHAnsi" w:hAnsiTheme="majorHAnsi"/>
          <w:bCs/>
        </w:rPr>
        <w:t xml:space="preserve">, τέλος, </w:t>
      </w:r>
      <w:r>
        <w:rPr>
          <w:rFonts w:asciiTheme="majorHAnsi" w:hAnsiTheme="majorHAnsi"/>
          <w:bCs/>
        </w:rPr>
        <w:t xml:space="preserve">ότι η Ομοσπονδιακή Κυβέρνηση θα συνεχίσει να στηρίζει ενεργά την επέκταση της βιολογικής γεωργίας στο άμεσο και προσεχές μέλλον. </w:t>
      </w:r>
    </w:p>
    <w:p w:rsidR="002D2D60" w:rsidRDefault="002D2D60" w:rsidP="001D50A2">
      <w:pPr>
        <w:jc w:val="both"/>
        <w:rPr>
          <w:rFonts w:asciiTheme="majorHAnsi" w:hAnsiTheme="majorHAnsi"/>
          <w:bCs/>
        </w:rPr>
      </w:pPr>
    </w:p>
    <w:p w:rsidR="002D2D60" w:rsidRDefault="002D2D60" w:rsidP="001D50A2">
      <w:pPr>
        <w:jc w:val="both"/>
        <w:rPr>
          <w:rFonts w:asciiTheme="majorHAnsi" w:hAnsiTheme="majorHAnsi"/>
          <w:bCs/>
        </w:rPr>
      </w:pPr>
    </w:p>
    <w:p w:rsidR="002D2D60" w:rsidRDefault="002D2D60" w:rsidP="001D50A2">
      <w:pPr>
        <w:jc w:val="both"/>
        <w:rPr>
          <w:rFonts w:asciiTheme="majorHAnsi" w:hAnsiTheme="majorHAnsi"/>
          <w:bCs/>
        </w:rPr>
      </w:pPr>
    </w:p>
    <w:p w:rsidR="002D2D60" w:rsidRDefault="002D2D6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2D2D60" w:rsidRDefault="002D2D60" w:rsidP="001D50A2">
      <w:pPr>
        <w:jc w:val="both"/>
        <w:rPr>
          <w:rFonts w:asciiTheme="majorHAnsi" w:hAnsiTheme="majorHAnsi"/>
          <w:bCs/>
        </w:rPr>
      </w:pPr>
    </w:p>
    <w:p w:rsidR="002D2D60" w:rsidRDefault="002D2D60" w:rsidP="001D50A2">
      <w:pPr>
        <w:jc w:val="both"/>
        <w:rPr>
          <w:rFonts w:asciiTheme="majorHAnsi" w:hAnsiTheme="majorHAnsi"/>
          <w:bCs/>
        </w:rPr>
      </w:pPr>
    </w:p>
    <w:p w:rsidR="002D2D60" w:rsidRDefault="002D2D6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Θεόδωρος </w:t>
      </w:r>
      <w:proofErr w:type="spellStart"/>
      <w:r>
        <w:rPr>
          <w:rFonts w:asciiTheme="majorHAnsi" w:hAnsiTheme="majorHAnsi"/>
          <w:bCs/>
        </w:rPr>
        <w:t>Ξυπολιάς</w:t>
      </w:r>
      <w:proofErr w:type="spellEnd"/>
      <w:r>
        <w:rPr>
          <w:rFonts w:asciiTheme="majorHAnsi" w:hAnsiTheme="majorHAnsi"/>
          <w:bCs/>
        </w:rPr>
        <w:t xml:space="preserve"> </w:t>
      </w:r>
    </w:p>
    <w:p w:rsidR="002D2D60" w:rsidRPr="00F9715D" w:rsidRDefault="002D2D6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w:t>
      </w:r>
    </w:p>
    <w:sectPr w:rsidR="002D2D60" w:rsidRPr="00F9715D"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DC2" w:rsidRDefault="00820DC2" w:rsidP="0014093E">
      <w:r>
        <w:separator/>
      </w:r>
    </w:p>
  </w:endnote>
  <w:endnote w:type="continuationSeparator" w:id="1">
    <w:p w:rsidR="00820DC2" w:rsidRDefault="00820DC2"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C2" w:rsidRPr="00AF2A95" w:rsidRDefault="00820DC2" w:rsidP="0074232E">
    <w:pPr>
      <w:pStyle w:val="Footer"/>
      <w:jc w:val="right"/>
      <w:rPr>
        <w:b/>
        <w:sz w:val="2"/>
        <w:szCs w:val="2"/>
      </w:rPr>
    </w:pPr>
    <w:r>
      <w:rPr>
        <w:b/>
      </w:rPr>
      <w:t>_____________________________________________________________________</w:t>
    </w:r>
  </w:p>
  <w:p w:rsidR="00820DC2" w:rsidRDefault="00820DC2" w:rsidP="0074232E">
    <w:pPr>
      <w:pStyle w:val="Footer"/>
      <w:jc w:val="center"/>
      <w:rPr>
        <w:b/>
        <w:sz w:val="20"/>
        <w:szCs w:val="20"/>
      </w:rPr>
    </w:pPr>
    <w:r>
      <w:rPr>
        <w:b/>
        <w:sz w:val="20"/>
        <w:szCs w:val="20"/>
      </w:rPr>
      <w:t>ΑΔΙΑΒΑΘΜΗΤΟ - ΚΑΝΟΝΙΚΟ</w:t>
    </w:r>
  </w:p>
  <w:p w:rsidR="00820DC2" w:rsidRPr="00914D01" w:rsidRDefault="00820DC2"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AA7C2C">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AA7C2C">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DC2" w:rsidRDefault="00820DC2" w:rsidP="0014093E">
      <w:r>
        <w:separator/>
      </w:r>
    </w:p>
  </w:footnote>
  <w:footnote w:type="continuationSeparator" w:id="1">
    <w:p w:rsidR="00820DC2" w:rsidRDefault="00820DC2"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2817"/>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2D60"/>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B43"/>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4EDF"/>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B9B"/>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0DC2"/>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12C"/>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A7C2C"/>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4FA1"/>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4C29"/>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9715D"/>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 w:type="paragraph" w:styleId="EndnoteText">
    <w:name w:val="endnote text"/>
    <w:basedOn w:val="Normal"/>
    <w:link w:val="EndnoteTextChar"/>
    <w:uiPriority w:val="99"/>
    <w:semiHidden/>
    <w:unhideWhenUsed/>
    <w:rsid w:val="00C04FA1"/>
    <w:rPr>
      <w:sz w:val="20"/>
      <w:szCs w:val="20"/>
    </w:rPr>
  </w:style>
  <w:style w:type="character" w:customStyle="1" w:styleId="EndnoteTextChar">
    <w:name w:val="Endnote Text Char"/>
    <w:basedOn w:val="DefaultParagraphFont"/>
    <w:link w:val="EndnoteText"/>
    <w:uiPriority w:val="99"/>
    <w:semiHidden/>
    <w:rsid w:val="00C04FA1"/>
    <w:rPr>
      <w:rFonts w:ascii="Times New Roman" w:eastAsia="Times New Roman" w:hAnsi="Times New Roman"/>
    </w:rPr>
  </w:style>
  <w:style w:type="character" w:styleId="EndnoteReference">
    <w:name w:val="endnote reference"/>
    <w:basedOn w:val="DefaultParagraphFont"/>
    <w:uiPriority w:val="99"/>
    <w:semiHidden/>
    <w:unhideWhenUsed/>
    <w:rsid w:val="00C04FA1"/>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42E7-8A60-43BC-B4BB-B7E90A3A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3366</Characters>
  <Application>Microsoft Office Word</Application>
  <DocSecurity>0</DocSecurity>
  <Lines>28</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2021-06-24T14:02:00Z</cp:lastPrinted>
  <dcterms:created xsi:type="dcterms:W3CDTF">2021-06-24T14:11:00Z</dcterms:created>
  <dcterms:modified xsi:type="dcterms:W3CDTF">2021-06-24T14:11:00Z</dcterms:modified>
</cp:coreProperties>
</file>