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66141C">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7061788"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236C82" w:rsidRPr="00B33DF1" w:rsidRDefault="00236C82" w:rsidP="0066141C">
            <w:pPr>
              <w:ind w:left="1850"/>
              <w:rPr>
                <w:b/>
              </w:rPr>
            </w:pPr>
            <w:r>
              <w:rPr>
                <w:b/>
              </w:rPr>
              <w:t>ΑΔΙΑΒΑΘΜΗΤΟ</w:t>
            </w:r>
            <w:r w:rsidR="0074232E">
              <w:rPr>
                <w:b/>
              </w:rPr>
              <w:t xml:space="preserve"> -</w:t>
            </w:r>
            <w:r w:rsidRPr="00B33DF1">
              <w:rPr>
                <w:b/>
              </w:rPr>
              <w:t>ΚΑΝΟΝΙΚΟ</w:t>
            </w:r>
          </w:p>
          <w:tbl>
            <w:tblPr>
              <w:tblW w:w="3825" w:type="dxa"/>
              <w:tblInd w:w="1730" w:type="dxa"/>
              <w:tblLayout w:type="fixed"/>
              <w:tblLook w:val="04A0"/>
            </w:tblPr>
            <w:tblGrid>
              <w:gridCol w:w="3825"/>
            </w:tblGrid>
            <w:tr w:rsidR="00236C82" w:rsidRPr="002F46C3" w:rsidTr="00782E71">
              <w:tc>
                <w:tcPr>
                  <w:tcW w:w="3827" w:type="dxa"/>
                </w:tcPr>
                <w:p w:rsidR="00236C82" w:rsidRPr="00476934" w:rsidRDefault="00236C82" w:rsidP="00BD58E5">
                  <w:r w:rsidRPr="006D231D">
                    <w:t>Βερολίνο</w:t>
                  </w:r>
                  <w:r>
                    <w:t>,</w:t>
                  </w:r>
                  <w:r w:rsidR="008E613E">
                    <w:rPr>
                      <w:lang w:val="en-GB"/>
                    </w:rPr>
                    <w:t xml:space="preserve"> </w:t>
                  </w:r>
                  <w:r w:rsidR="00D55B28">
                    <w:t>1</w:t>
                  </w:r>
                  <w:r w:rsidR="00B92D55">
                    <w:rPr>
                      <w:lang w:val="en-GB"/>
                    </w:rPr>
                    <w:t>2</w:t>
                  </w:r>
                  <w:r w:rsidR="008E613E">
                    <w:t xml:space="preserve"> </w:t>
                  </w:r>
                  <w:r w:rsidR="00823F3B">
                    <w:t xml:space="preserve">Μαρτίου </w:t>
                  </w:r>
                  <w:r w:rsidR="00476934">
                    <w:t>2021</w:t>
                  </w:r>
                </w:p>
              </w:tc>
            </w:tr>
            <w:tr w:rsidR="00236C82" w:rsidRPr="002F46C3" w:rsidTr="00782E71">
              <w:tc>
                <w:tcPr>
                  <w:tcW w:w="3827" w:type="dxa"/>
                </w:tcPr>
                <w:p w:rsidR="00496425" w:rsidRPr="0047522A" w:rsidRDefault="006960A0" w:rsidP="00BD58E5">
                  <w:pPr>
                    <w:rPr>
                      <w:lang w:val="de-DE"/>
                    </w:rPr>
                  </w:pPr>
                  <w:r>
                    <w:t>Α.Π.:</w:t>
                  </w:r>
                  <w:r w:rsidR="00C84BA2">
                    <w:t xml:space="preserve"> </w:t>
                  </w:r>
                  <w:r w:rsidR="00610ADC">
                    <w:t xml:space="preserve"> 624</w:t>
                  </w:r>
                </w:p>
              </w:tc>
            </w:tr>
          </w:tbl>
          <w:p w:rsidR="00236C82" w:rsidRPr="002F46C3" w:rsidRDefault="00236C82" w:rsidP="00782E71">
            <w:pPr>
              <w:jc w:val="both"/>
            </w:pPr>
          </w:p>
        </w:tc>
      </w:tr>
    </w:tbl>
    <w:p w:rsidR="00236C82" w:rsidRDefault="00236C82" w:rsidP="00236C82">
      <w:pPr>
        <w:ind w:right="-694"/>
        <w:jc w:val="both"/>
        <w:rPr>
          <w:b/>
          <w:bCs/>
          <w:sz w:val="14"/>
          <w:szCs w:val="28"/>
        </w:rPr>
      </w:pPr>
    </w:p>
    <w:p w:rsidR="001F7E1F" w:rsidRDefault="001F7E1F" w:rsidP="00236C82">
      <w:pPr>
        <w:ind w:right="-694"/>
        <w:jc w:val="both"/>
        <w:rPr>
          <w:b/>
          <w:bCs/>
          <w:sz w:val="14"/>
          <w:szCs w:val="28"/>
        </w:rPr>
      </w:pPr>
    </w:p>
    <w:tbl>
      <w:tblPr>
        <w:tblW w:w="7513" w:type="dxa"/>
        <w:tblInd w:w="-459" w:type="dxa"/>
        <w:tblLook w:val="01E0"/>
      </w:tblPr>
      <w:tblGrid>
        <w:gridCol w:w="1107"/>
        <w:gridCol w:w="407"/>
        <w:gridCol w:w="5999"/>
      </w:tblGrid>
      <w:tr w:rsidR="001F7E1F" w:rsidRPr="002340CD" w:rsidTr="00F54BB1">
        <w:tc>
          <w:tcPr>
            <w:tcW w:w="1107" w:type="dxa"/>
            <w:hideMark/>
          </w:tcPr>
          <w:p w:rsidR="001F7E1F" w:rsidRDefault="001F7E1F" w:rsidP="00495804">
            <w:pPr>
              <w:tabs>
                <w:tab w:val="left" w:pos="559"/>
              </w:tabs>
              <w:jc w:val="right"/>
              <w:rPr>
                <w:b/>
                <w:bCs/>
              </w:rPr>
            </w:pPr>
            <w:r>
              <w:rPr>
                <w:b/>
                <w:bCs/>
              </w:rPr>
              <w:t>ΠΡΟΣ:</w:t>
            </w:r>
          </w:p>
          <w:p w:rsidR="001F7E1F" w:rsidRPr="00F13A22" w:rsidRDefault="001F7E1F" w:rsidP="00495804">
            <w:pPr>
              <w:tabs>
                <w:tab w:val="left" w:pos="559"/>
              </w:tabs>
              <w:jc w:val="right"/>
              <w:rPr>
                <w:b/>
                <w:bCs/>
                <w:sz w:val="20"/>
                <w:szCs w:val="20"/>
              </w:rPr>
            </w:pPr>
          </w:p>
        </w:tc>
        <w:tc>
          <w:tcPr>
            <w:tcW w:w="407" w:type="dxa"/>
            <w:hideMark/>
          </w:tcPr>
          <w:p w:rsidR="001F7E1F" w:rsidRDefault="001F7E1F" w:rsidP="00495804">
            <w:pPr>
              <w:jc w:val="both"/>
              <w:rPr>
                <w:bCs/>
              </w:rPr>
            </w:pPr>
            <w:r>
              <w:rPr>
                <w:bCs/>
              </w:rPr>
              <w:t>-</w:t>
            </w:r>
          </w:p>
        </w:tc>
        <w:tc>
          <w:tcPr>
            <w:tcW w:w="5999" w:type="dxa"/>
            <w:hideMark/>
          </w:tcPr>
          <w:p w:rsidR="001F7E1F" w:rsidRPr="00F322F7" w:rsidRDefault="00851415" w:rsidP="00495804">
            <w:pPr>
              <w:rPr>
                <w:b/>
              </w:rPr>
            </w:pPr>
            <w:r>
              <w:rPr>
                <w:b/>
              </w:rPr>
              <w:t xml:space="preserve">Υπουργείο Εξωτερικών </w:t>
            </w:r>
          </w:p>
          <w:p w:rsidR="001F7E1F" w:rsidRPr="00B92D55" w:rsidRDefault="005A3619" w:rsidP="00495804">
            <w:r>
              <w:t>Β</w:t>
            </w:r>
            <w:r w:rsidR="00A41DC7">
              <w:rPr>
                <w:lang w:val="en-GB"/>
              </w:rPr>
              <w:t>4</w:t>
            </w:r>
            <w:r w:rsidR="00B92D55">
              <w:rPr>
                <w:lang w:val="en-GB"/>
              </w:rPr>
              <w:t xml:space="preserve"> </w:t>
            </w:r>
            <w:r w:rsidR="00B92D55">
              <w:t xml:space="preserve">Διεύθυνση </w:t>
            </w:r>
          </w:p>
          <w:p w:rsidR="001F7E1F" w:rsidRPr="00F16EB2" w:rsidRDefault="001F7E1F" w:rsidP="00495804">
            <w:pPr>
              <w:rPr>
                <w:sz w:val="12"/>
              </w:rPr>
            </w:pPr>
          </w:p>
        </w:tc>
      </w:tr>
      <w:tr w:rsidR="001F7E1F" w:rsidRPr="00A27916" w:rsidTr="00F54BB1">
        <w:tc>
          <w:tcPr>
            <w:tcW w:w="1107" w:type="dxa"/>
            <w:hideMark/>
          </w:tcPr>
          <w:p w:rsidR="001F7E1F" w:rsidRDefault="001F7E1F" w:rsidP="00495804">
            <w:pPr>
              <w:jc w:val="right"/>
              <w:rPr>
                <w:b/>
                <w:bCs/>
              </w:rPr>
            </w:pPr>
            <w:r>
              <w:rPr>
                <w:b/>
                <w:bCs/>
              </w:rPr>
              <w:t>ΚΟΙΝ.:</w:t>
            </w:r>
          </w:p>
          <w:p w:rsidR="001F7E1F" w:rsidRDefault="001F7E1F" w:rsidP="00495804">
            <w:pPr>
              <w:jc w:val="right"/>
              <w:rPr>
                <w:b/>
                <w:bCs/>
              </w:rPr>
            </w:pPr>
          </w:p>
        </w:tc>
        <w:tc>
          <w:tcPr>
            <w:tcW w:w="407" w:type="dxa"/>
            <w:hideMark/>
          </w:tcPr>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235"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Default="001F7E1F" w:rsidP="00495804">
            <w:pPr>
              <w:jc w:val="both"/>
              <w:rPr>
                <w:bCs/>
              </w:rPr>
            </w:pPr>
            <w:r>
              <w:rPr>
                <w:bCs/>
              </w:rPr>
              <w:t>-</w:t>
            </w:r>
          </w:p>
          <w:p w:rsidR="001F7E1F" w:rsidRPr="006960A0" w:rsidRDefault="001F7E1F" w:rsidP="00495804">
            <w:pPr>
              <w:jc w:val="both"/>
              <w:rPr>
                <w:bCs/>
              </w:rPr>
            </w:pPr>
          </w:p>
        </w:tc>
        <w:tc>
          <w:tcPr>
            <w:tcW w:w="5999" w:type="dxa"/>
            <w:hideMark/>
          </w:tcPr>
          <w:p w:rsidR="001F7E1F" w:rsidRDefault="00E92075" w:rsidP="00495804">
            <w:pPr>
              <w:jc w:val="both"/>
              <w:rPr>
                <w:bCs/>
              </w:rPr>
            </w:pPr>
            <w:proofErr w:type="spellStart"/>
            <w:r>
              <w:rPr>
                <w:bCs/>
              </w:rPr>
              <w:t>Διπλ</w:t>
            </w:r>
            <w:proofErr w:type="spellEnd"/>
            <w:r>
              <w:rPr>
                <w:bCs/>
              </w:rPr>
              <w:t xml:space="preserve">. Γραφείο κ. Πρωθυπουργού </w:t>
            </w:r>
          </w:p>
          <w:p w:rsidR="001F7E1F" w:rsidRDefault="001F7E1F" w:rsidP="00495804">
            <w:pPr>
              <w:jc w:val="both"/>
              <w:rPr>
                <w:bCs/>
              </w:rPr>
            </w:pPr>
            <w:proofErr w:type="spellStart"/>
            <w:r>
              <w:rPr>
                <w:bCs/>
              </w:rPr>
              <w:t>Διπλ</w:t>
            </w:r>
            <w:proofErr w:type="spellEnd"/>
            <w:r>
              <w:rPr>
                <w:bCs/>
              </w:rPr>
              <w:t>. Γρ</w:t>
            </w:r>
            <w:r w:rsidR="00E92075">
              <w:rPr>
                <w:bCs/>
              </w:rPr>
              <w:t xml:space="preserve">αφείο κ. Υπουργού </w:t>
            </w:r>
          </w:p>
          <w:p w:rsidR="001F7E1F" w:rsidRDefault="001F7E1F" w:rsidP="00495804">
            <w:pPr>
              <w:jc w:val="both"/>
              <w:rPr>
                <w:bCs/>
              </w:rPr>
            </w:pPr>
            <w:proofErr w:type="spellStart"/>
            <w:r>
              <w:rPr>
                <w:bCs/>
              </w:rPr>
              <w:t>Διπλ</w:t>
            </w:r>
            <w:proofErr w:type="spellEnd"/>
            <w:r>
              <w:rPr>
                <w:bCs/>
              </w:rPr>
              <w:t>. Γραφείο κ. ΑΝΥΠΕΞ</w:t>
            </w:r>
          </w:p>
          <w:p w:rsidR="001F7E1F" w:rsidRDefault="001F7E1F" w:rsidP="00495804">
            <w:pPr>
              <w:jc w:val="both"/>
              <w:rPr>
                <w:bCs/>
              </w:rPr>
            </w:pPr>
            <w:proofErr w:type="spellStart"/>
            <w:r>
              <w:rPr>
                <w:bCs/>
              </w:rPr>
              <w:t>Διπλ</w:t>
            </w:r>
            <w:proofErr w:type="spellEnd"/>
            <w:r>
              <w:rPr>
                <w:bCs/>
              </w:rPr>
              <w:t>. Γραφείο ΥΦΥΠΕΞ κ. Φραγκογιάννη</w:t>
            </w:r>
          </w:p>
          <w:p w:rsidR="001F7E1F" w:rsidRPr="0049673A" w:rsidRDefault="001F7E1F" w:rsidP="00495804">
            <w:pPr>
              <w:jc w:val="both"/>
              <w:rPr>
                <w:bCs/>
              </w:rPr>
            </w:pPr>
            <w:proofErr w:type="spellStart"/>
            <w:r>
              <w:rPr>
                <w:bCs/>
              </w:rPr>
              <w:t>Γραφ</w:t>
            </w:r>
            <w:proofErr w:type="spellEnd"/>
            <w:r>
              <w:rPr>
                <w:bCs/>
              </w:rPr>
              <w:t>. κ. Γεν. Γραμματέα</w:t>
            </w:r>
          </w:p>
          <w:p w:rsidR="001F7E1F" w:rsidRDefault="001F7E1F" w:rsidP="00495804">
            <w:pPr>
              <w:jc w:val="both"/>
            </w:pPr>
            <w:proofErr w:type="spellStart"/>
            <w:r>
              <w:rPr>
                <w:bCs/>
              </w:rPr>
              <w:t>Γραφ</w:t>
            </w:r>
            <w:proofErr w:type="spellEnd"/>
            <w:r>
              <w:rPr>
                <w:bCs/>
              </w:rPr>
              <w:t>. κ. Γεν. Γραμματέα ΔΟΣ &amp;</w:t>
            </w:r>
            <w:r w:rsidRPr="00F322F7">
              <w:rPr>
                <w:bCs/>
              </w:rPr>
              <w:t>Εξωστρ</w:t>
            </w:r>
            <w:r>
              <w:rPr>
                <w:bCs/>
              </w:rPr>
              <w:t>έφειας</w:t>
            </w:r>
          </w:p>
          <w:p w:rsidR="001F7E1F" w:rsidRDefault="00640264" w:rsidP="00495804">
            <w:pPr>
              <w:jc w:val="both"/>
            </w:pPr>
            <w:r>
              <w:t xml:space="preserve">κα Β’ Γενική Διευθύντρια </w:t>
            </w:r>
            <w:r w:rsidR="004B2C4D">
              <w:t xml:space="preserve"> </w:t>
            </w:r>
          </w:p>
          <w:p w:rsidR="006060EC" w:rsidRPr="006060EC" w:rsidRDefault="003D0652" w:rsidP="00495804">
            <w:pPr>
              <w:jc w:val="both"/>
            </w:pPr>
            <w:r>
              <w:t xml:space="preserve">Β1 &amp; </w:t>
            </w:r>
            <w:r w:rsidR="005D3F86">
              <w:t>Β</w:t>
            </w:r>
            <w:r w:rsidR="00A41DC7">
              <w:rPr>
                <w:lang w:val="en-GB"/>
              </w:rPr>
              <w:t>8</w:t>
            </w:r>
            <w:r w:rsidR="005D3F86" w:rsidRPr="00B92D55">
              <w:t xml:space="preserve"> </w:t>
            </w:r>
            <w:r w:rsidR="00463B87">
              <w:t xml:space="preserve">Διευθύνσεις </w:t>
            </w:r>
          </w:p>
          <w:p w:rsidR="00463B87" w:rsidRPr="00B92D55" w:rsidRDefault="001F7E1F" w:rsidP="001D54A9">
            <w:r>
              <w:t xml:space="preserve">Γραφεία ΟΕΥ Μονάχου, </w:t>
            </w:r>
            <w:proofErr w:type="spellStart"/>
            <w:r>
              <w:t>Ντύσσελντο</w:t>
            </w:r>
            <w:r w:rsidR="00C22A38">
              <w:t>ρφ</w:t>
            </w:r>
            <w:proofErr w:type="spellEnd"/>
            <w:r w:rsidR="00C22A38">
              <w:t xml:space="preserve"> (μέσω ημών</w:t>
            </w:r>
            <w:r w:rsidR="00E74D7E">
              <w:t>)</w:t>
            </w:r>
          </w:p>
          <w:p w:rsidR="005D3F86" w:rsidRPr="00B92D55" w:rsidRDefault="005D3F86" w:rsidP="001D54A9"/>
          <w:p w:rsidR="005D3F86" w:rsidRDefault="005D3F86" w:rsidP="001D54A9">
            <w:r>
              <w:rPr>
                <w:lang w:val="en-GB"/>
              </w:rPr>
              <w:t>K</w:t>
            </w:r>
            <w:proofErr w:type="spellStart"/>
            <w:r>
              <w:t>εντρική</w:t>
            </w:r>
            <w:proofErr w:type="spellEnd"/>
            <w:r>
              <w:t xml:space="preserve"> </w:t>
            </w:r>
            <w:proofErr w:type="spellStart"/>
            <w:r>
              <w:t>Ενωση</w:t>
            </w:r>
            <w:proofErr w:type="spellEnd"/>
            <w:r>
              <w:t xml:space="preserve"> Επιμελητηρίων Ελλάδος (μέσω ημών)</w:t>
            </w:r>
          </w:p>
          <w:p w:rsidR="005D3F86" w:rsidRDefault="005D3F86" w:rsidP="001D54A9">
            <w:r>
              <w:t>Εμπορικό και Βιομηχανικό Επιμελητήριο Αθηνών (</w:t>
            </w:r>
            <w:proofErr w:type="spellStart"/>
            <w:r>
              <w:t>μ.η</w:t>
            </w:r>
            <w:proofErr w:type="spellEnd"/>
            <w:r>
              <w:t>.)</w:t>
            </w:r>
          </w:p>
          <w:p w:rsidR="005D3F86" w:rsidRDefault="005D3F86" w:rsidP="001D54A9">
            <w:r>
              <w:t>Εμπορικό και Βιομηχανικό Επιμελητήριο Θες/νίκης (</w:t>
            </w:r>
            <w:proofErr w:type="spellStart"/>
            <w:r>
              <w:t>μ.η</w:t>
            </w:r>
            <w:proofErr w:type="spellEnd"/>
            <w:r>
              <w:t>.)</w:t>
            </w:r>
          </w:p>
          <w:p w:rsidR="005D3F86" w:rsidRDefault="005D3F86" w:rsidP="001D54A9">
            <w:r>
              <w:t>Εμπορικό και Βιομηχανικό Επιμελητήριο Πειραιώς (</w:t>
            </w:r>
            <w:proofErr w:type="spellStart"/>
            <w:r>
              <w:t>μ.η</w:t>
            </w:r>
            <w:proofErr w:type="spellEnd"/>
            <w:r>
              <w:t>.)</w:t>
            </w:r>
          </w:p>
          <w:p w:rsidR="005D3F86" w:rsidRDefault="005D3F86" w:rsidP="001D54A9">
            <w:r>
              <w:t>Βιοτεχνικό Επιμελητήριο Αθηνών (μέσω ημών)</w:t>
            </w:r>
          </w:p>
          <w:p w:rsidR="005D3F86" w:rsidRPr="00B92D55" w:rsidRDefault="005D3F86" w:rsidP="001D54A9">
            <w:r>
              <w:t>Βιοτεχνικό Επιμελ</w:t>
            </w:r>
            <w:r w:rsidR="00B92D55">
              <w:t>ητήριο Θεσσαλονίκης (μέσω ημών)</w:t>
            </w:r>
          </w:p>
          <w:p w:rsidR="005D3F86" w:rsidRDefault="005D3F86" w:rsidP="001D54A9">
            <w:r>
              <w:t>Βιοτεχνικό Επιμελητήριο Πειραιώς (μέσω ημών)</w:t>
            </w:r>
          </w:p>
          <w:p w:rsidR="005D3F86" w:rsidRDefault="005D3F86" w:rsidP="001D54A9">
            <w:r>
              <w:t>Πανελλήνιο Σύνδεσμο Εξαγωγέων (ΠΣΕ) (μέσω ημών)</w:t>
            </w:r>
          </w:p>
          <w:p w:rsidR="005D3F86" w:rsidRDefault="005D3F86" w:rsidP="001D54A9">
            <w:r>
              <w:t>Σύνδεσμο Εξαγωγέων Βορείου Ελλάδος (ΣΕΒΕ) (</w:t>
            </w:r>
            <w:proofErr w:type="spellStart"/>
            <w:r>
              <w:t>μ.ημών</w:t>
            </w:r>
            <w:proofErr w:type="spellEnd"/>
            <w:r>
              <w:t>)</w:t>
            </w:r>
          </w:p>
          <w:p w:rsidR="005D3F86" w:rsidRPr="005D3F86" w:rsidRDefault="005D3F86" w:rsidP="001D54A9">
            <w:r>
              <w:t>Σύνδεσμο Εξαγωγέων Κρήτης (ΣΕΚ) (μέσω ημών)</w:t>
            </w:r>
          </w:p>
          <w:p w:rsidR="00C22A38" w:rsidRPr="00C22A38" w:rsidRDefault="00C22A38" w:rsidP="001D54A9">
            <w:r>
              <w:t xml:space="preserve"> </w:t>
            </w:r>
          </w:p>
        </w:tc>
      </w:tr>
      <w:tr w:rsidR="00236C82" w:rsidRPr="00A27916" w:rsidTr="00F54BB1">
        <w:tc>
          <w:tcPr>
            <w:tcW w:w="1107" w:type="dxa"/>
            <w:hideMark/>
          </w:tcPr>
          <w:p w:rsidR="00236C82" w:rsidRDefault="00236C82" w:rsidP="0066141C">
            <w:pPr>
              <w:jc w:val="right"/>
              <w:rPr>
                <w:b/>
                <w:bCs/>
              </w:rPr>
            </w:pPr>
            <w:r>
              <w:rPr>
                <w:b/>
                <w:bCs/>
              </w:rPr>
              <w:t>Ε.Δ.:</w:t>
            </w:r>
          </w:p>
        </w:tc>
        <w:tc>
          <w:tcPr>
            <w:tcW w:w="407" w:type="dxa"/>
            <w:hideMark/>
          </w:tcPr>
          <w:p w:rsidR="00236C82" w:rsidRDefault="00236C82" w:rsidP="00782E71">
            <w:pPr>
              <w:jc w:val="both"/>
              <w:rPr>
                <w:bCs/>
              </w:rPr>
            </w:pPr>
            <w:r>
              <w:rPr>
                <w:bCs/>
              </w:rPr>
              <w:t>-</w:t>
            </w:r>
          </w:p>
        </w:tc>
        <w:tc>
          <w:tcPr>
            <w:tcW w:w="5999" w:type="dxa"/>
          </w:tcPr>
          <w:p w:rsidR="00236C82" w:rsidRDefault="00236C82" w:rsidP="00782E71">
            <w:pPr>
              <w:jc w:val="both"/>
              <w:rPr>
                <w:bCs/>
              </w:rPr>
            </w:pPr>
            <w:r>
              <w:rPr>
                <w:bCs/>
              </w:rPr>
              <w:t xml:space="preserve">Γραφείο κ. </w:t>
            </w:r>
            <w:proofErr w:type="spellStart"/>
            <w:r>
              <w:rPr>
                <w:bCs/>
              </w:rPr>
              <w:t>Πρέσβεως</w:t>
            </w:r>
            <w:proofErr w:type="spellEnd"/>
          </w:p>
        </w:tc>
      </w:tr>
    </w:tbl>
    <w:p w:rsidR="009F6DA0" w:rsidRDefault="009F6DA0" w:rsidP="00236C82">
      <w:pPr>
        <w:ind w:right="-694"/>
        <w:jc w:val="both"/>
        <w:rPr>
          <w:bCs/>
          <w:sz w:val="16"/>
          <w:szCs w:val="28"/>
        </w:rPr>
      </w:pPr>
    </w:p>
    <w:p w:rsidR="009F6DA0" w:rsidRPr="00F16EB2" w:rsidRDefault="009F6DA0" w:rsidP="00236C82">
      <w:pPr>
        <w:ind w:right="-694"/>
        <w:jc w:val="both"/>
        <w:rPr>
          <w:bCs/>
          <w:sz w:val="16"/>
          <w:szCs w:val="28"/>
        </w:rPr>
      </w:pPr>
    </w:p>
    <w:tbl>
      <w:tblPr>
        <w:tblW w:w="9251" w:type="dxa"/>
        <w:tblInd w:w="-212" w:type="dxa"/>
        <w:tblLook w:val="01E0"/>
      </w:tblPr>
      <w:tblGrid>
        <w:gridCol w:w="8946"/>
        <w:gridCol w:w="305"/>
      </w:tblGrid>
      <w:tr w:rsidR="00273E08" w:rsidRPr="000345B7" w:rsidTr="00273E08">
        <w:tc>
          <w:tcPr>
            <w:tcW w:w="9251" w:type="dxa"/>
            <w:gridSpan w:val="2"/>
            <w:hideMark/>
          </w:tcPr>
          <w:p w:rsidR="005D3F86" w:rsidRDefault="00273E08" w:rsidP="00823F3B">
            <w:pPr>
              <w:jc w:val="both"/>
              <w:rPr>
                <w:b/>
                <w:bCs/>
              </w:rPr>
            </w:pPr>
            <w:r w:rsidRPr="000345B7">
              <w:rPr>
                <w:b/>
                <w:bCs/>
              </w:rPr>
              <w:t>ΘΕΜΑ:</w:t>
            </w:r>
            <w:r w:rsidR="004F4A9C">
              <w:rPr>
                <w:b/>
                <w:bCs/>
              </w:rPr>
              <w:t xml:space="preserve"> «</w:t>
            </w:r>
            <w:r w:rsidR="00A41DC7">
              <w:rPr>
                <w:b/>
                <w:bCs/>
              </w:rPr>
              <w:t>Σύνδεσμος Γερμανών Βιομηχάνων</w:t>
            </w:r>
            <w:r w:rsidR="00266FDE">
              <w:rPr>
                <w:b/>
                <w:bCs/>
              </w:rPr>
              <w:t xml:space="preserve"> και Ινστιτούτου Οικονομικών Ερευνών </w:t>
            </w:r>
            <w:r w:rsidR="00A41DC7">
              <w:rPr>
                <w:b/>
                <w:bCs/>
              </w:rPr>
              <w:t xml:space="preserve"> – Εκτιμήσεις για αύξηση της βιομηχανικής παραγωγής</w:t>
            </w:r>
            <w:r w:rsidR="00F40D1D">
              <w:rPr>
                <w:b/>
                <w:bCs/>
              </w:rPr>
              <w:t>»</w:t>
            </w:r>
          </w:p>
          <w:p w:rsidR="00266FDE" w:rsidRPr="00266FDE" w:rsidRDefault="00266FDE" w:rsidP="00823F3B">
            <w:pPr>
              <w:jc w:val="both"/>
              <w:rPr>
                <w:b/>
                <w:bCs/>
                <w:lang w:val="de-DE"/>
              </w:rPr>
            </w:pPr>
          </w:p>
          <w:p w:rsidR="00A41DC7" w:rsidRPr="00266FDE" w:rsidRDefault="00A41DC7" w:rsidP="00823F3B">
            <w:pPr>
              <w:jc w:val="both"/>
              <w:rPr>
                <w:bCs/>
              </w:rPr>
            </w:pPr>
            <w:r>
              <w:rPr>
                <w:bCs/>
              </w:rPr>
              <w:t>Σύμφωνα με πρόσφατη επιχειρηματική έρευνα του Ινστιτούτου Οικονομικών Ερευνών (</w:t>
            </w:r>
            <w:proofErr w:type="spellStart"/>
            <w:r>
              <w:rPr>
                <w:bCs/>
                <w:lang w:val="de-DE"/>
              </w:rPr>
              <w:t>Ifo</w:t>
            </w:r>
            <w:proofErr w:type="spellEnd"/>
            <w:r w:rsidRPr="00A41DC7">
              <w:rPr>
                <w:bCs/>
              </w:rPr>
              <w:t xml:space="preserve"> </w:t>
            </w:r>
            <w:r>
              <w:rPr>
                <w:bCs/>
                <w:lang w:val="de-DE"/>
              </w:rPr>
              <w:t>Business</w:t>
            </w:r>
            <w:r>
              <w:rPr>
                <w:bCs/>
              </w:rPr>
              <w:t>)</w:t>
            </w:r>
            <w:r w:rsidR="00266FDE" w:rsidRPr="00266FDE">
              <w:rPr>
                <w:bCs/>
              </w:rPr>
              <w:t>,</w:t>
            </w:r>
            <w:r w:rsidR="00266FDE">
              <w:rPr>
                <w:bCs/>
              </w:rPr>
              <w:t xml:space="preserve"> τα </w:t>
            </w:r>
            <w:r>
              <w:rPr>
                <w:bCs/>
              </w:rPr>
              <w:t>ευρήματα του αντίστοιχου Δείκτη Επιχειρηματικού Κλίματος και τις διαπιστώσεις του Συνδέσμου Γερμανών Βιομηχάνων (</w:t>
            </w:r>
            <w:r>
              <w:rPr>
                <w:bCs/>
                <w:lang w:val="de-DE"/>
              </w:rPr>
              <w:t>Bundes</w:t>
            </w:r>
            <w:r w:rsidRPr="00A41DC7">
              <w:rPr>
                <w:bCs/>
              </w:rPr>
              <w:t xml:space="preserve"> </w:t>
            </w:r>
            <w:r>
              <w:rPr>
                <w:bCs/>
                <w:lang w:val="de-DE"/>
              </w:rPr>
              <w:t>Verband</w:t>
            </w:r>
            <w:r w:rsidRPr="00A41DC7">
              <w:rPr>
                <w:bCs/>
              </w:rPr>
              <w:t xml:space="preserve"> </w:t>
            </w:r>
            <w:r>
              <w:rPr>
                <w:bCs/>
                <w:lang w:val="de-DE"/>
              </w:rPr>
              <w:t>der</w:t>
            </w:r>
            <w:r w:rsidRPr="00A41DC7">
              <w:rPr>
                <w:bCs/>
              </w:rPr>
              <w:t xml:space="preserve"> </w:t>
            </w:r>
            <w:r w:rsidR="00266FDE">
              <w:rPr>
                <w:bCs/>
                <w:lang w:val="de-DE"/>
              </w:rPr>
              <w:t>Deutschen</w:t>
            </w:r>
            <w:r w:rsidR="00266FDE" w:rsidRPr="00266FDE">
              <w:rPr>
                <w:bCs/>
              </w:rPr>
              <w:t xml:space="preserve"> </w:t>
            </w:r>
            <w:r>
              <w:rPr>
                <w:bCs/>
                <w:lang w:val="de-DE"/>
              </w:rPr>
              <w:t>Industrie</w:t>
            </w:r>
            <w:r w:rsidRPr="00A41DC7">
              <w:rPr>
                <w:bCs/>
              </w:rPr>
              <w:t xml:space="preserve"> </w:t>
            </w:r>
            <w:r w:rsidR="00266FDE">
              <w:rPr>
                <w:bCs/>
                <w:lang w:val="de-DE"/>
              </w:rPr>
              <w:t>e</w:t>
            </w:r>
            <w:r w:rsidR="00266FDE" w:rsidRPr="00266FDE">
              <w:rPr>
                <w:bCs/>
              </w:rPr>
              <w:t>.</w:t>
            </w:r>
            <w:r w:rsidR="00266FDE">
              <w:rPr>
                <w:bCs/>
                <w:lang w:val="de-DE"/>
              </w:rPr>
              <w:t>V</w:t>
            </w:r>
            <w:r w:rsidR="00266FDE" w:rsidRPr="00266FDE">
              <w:rPr>
                <w:bCs/>
              </w:rPr>
              <w:t xml:space="preserve"> </w:t>
            </w:r>
            <w:r w:rsidRPr="00A41DC7">
              <w:rPr>
                <w:bCs/>
              </w:rPr>
              <w:t xml:space="preserve">– </w:t>
            </w:r>
            <w:r>
              <w:rPr>
                <w:bCs/>
                <w:lang w:val="de-DE"/>
              </w:rPr>
              <w:t>BDI</w:t>
            </w:r>
            <w:r>
              <w:rPr>
                <w:bCs/>
              </w:rPr>
              <w:t>) σημαντικά αυξημένες καταγράφονται οι προσδοκίες και εκτιμήσεις για περαιτέρω αύξηση της</w:t>
            </w:r>
            <w:r w:rsidR="00266FDE">
              <w:rPr>
                <w:bCs/>
              </w:rPr>
              <w:t xml:space="preserve"> βιομηχανικής παραγωγής εντός του προσεχούς χρονικού διαστήματος. </w:t>
            </w:r>
          </w:p>
          <w:p w:rsidR="00A41DC7" w:rsidRDefault="00A41DC7" w:rsidP="00823F3B">
            <w:pPr>
              <w:jc w:val="both"/>
              <w:rPr>
                <w:bCs/>
              </w:rPr>
            </w:pPr>
          </w:p>
          <w:p w:rsidR="00A41DC7" w:rsidRDefault="00A41DC7" w:rsidP="00823F3B">
            <w:pPr>
              <w:jc w:val="both"/>
              <w:rPr>
                <w:bCs/>
              </w:rPr>
            </w:pPr>
            <w:r>
              <w:rPr>
                <w:bCs/>
              </w:rPr>
              <w:t xml:space="preserve">Ο Δείκτης Επιχειρηματικού Κλίματος παρουσιάζει σημαντική αύξηση και από 9,4 μονάδες τον περασμένο Ιανουάριο </w:t>
            </w:r>
            <w:proofErr w:type="spellStart"/>
            <w:r>
              <w:rPr>
                <w:bCs/>
              </w:rPr>
              <w:t>τ.έ</w:t>
            </w:r>
            <w:proofErr w:type="spellEnd"/>
            <w:r>
              <w:rPr>
                <w:bCs/>
              </w:rPr>
              <w:t xml:space="preserve">. αυξήθηκε στις 20,7 μονάδες τον Φεβρουάριο. Σύμφωνα με τις εκτιμήσεις ειδικών του Ινστιτούτου Οικονομικών Ερευνών, που συγκλίνουν με τις απόψεις και εκτιμήσεις του Συνδέσμου Γερμανών Βιομηχάνων, η κατάσταση παρουσιάζεται διαφοροποιημένη αναλόγως του τομέα για τον οποίο πρόκειται, ενώ και οι όποιες προσδοκίες και εκτιμήσεις ποικίλλουν σημαντικά. </w:t>
            </w:r>
          </w:p>
          <w:p w:rsidR="00A41DC7" w:rsidRDefault="00A41DC7" w:rsidP="00823F3B">
            <w:pPr>
              <w:jc w:val="both"/>
              <w:rPr>
                <w:bCs/>
                <w:lang w:val="de-DE"/>
              </w:rPr>
            </w:pPr>
          </w:p>
          <w:p w:rsidR="00266FDE" w:rsidRDefault="00266FDE" w:rsidP="00823F3B">
            <w:pPr>
              <w:jc w:val="both"/>
              <w:rPr>
                <w:bCs/>
                <w:lang w:val="de-DE"/>
              </w:rPr>
            </w:pPr>
          </w:p>
          <w:p w:rsidR="00266FDE" w:rsidRPr="00266FDE" w:rsidRDefault="00266FDE" w:rsidP="00823F3B">
            <w:pPr>
              <w:jc w:val="both"/>
              <w:rPr>
                <w:bCs/>
                <w:lang w:val="de-DE"/>
              </w:rPr>
            </w:pPr>
          </w:p>
          <w:p w:rsidR="00A41DC7" w:rsidRDefault="00A41DC7" w:rsidP="00823F3B">
            <w:pPr>
              <w:jc w:val="both"/>
              <w:rPr>
                <w:bCs/>
              </w:rPr>
            </w:pPr>
            <w:r>
              <w:rPr>
                <w:bCs/>
              </w:rPr>
              <w:lastRenderedPageBreak/>
              <w:t>Για παράδειγμα ενώ η γερμανική αυτοκινητοβιομηχανία σχεδιάζει να αυξήσει την παραγωγή της</w:t>
            </w:r>
            <w:r w:rsidR="00610ADC">
              <w:rPr>
                <w:bCs/>
              </w:rPr>
              <w:t xml:space="preserve"> με γοργά </w:t>
            </w:r>
            <w:r>
              <w:rPr>
                <w:bCs/>
              </w:rPr>
              <w:t>βήματα, η βιομηχανία ενδυμάτων οδηγείται προς μείωση της παραγωγής της. Οι προσδοκίες μεταξύ των αυτοκινητοβιομηχανιών και των προμηθευτών τους</w:t>
            </w:r>
            <w:r w:rsidR="00610ADC">
              <w:rPr>
                <w:bCs/>
              </w:rPr>
              <w:t xml:space="preserve"> βελτιώθηκαν</w:t>
            </w:r>
            <w:r>
              <w:rPr>
                <w:bCs/>
              </w:rPr>
              <w:t xml:space="preserve"> στο</w:t>
            </w:r>
            <w:r w:rsidR="00610ADC">
              <w:rPr>
                <w:bCs/>
              </w:rPr>
              <w:t xml:space="preserve"> συγκεκριμένο χρονικό διάστημα </w:t>
            </w:r>
            <w:r>
              <w:rPr>
                <w:bCs/>
              </w:rPr>
              <w:t>σημαντικά με τον δείκτη να αυξάνεται έως και 35 μονάδες από μείον 1 μονάδα τον περασμένο Ιανουάριο. Στη χημική βιομηχανία αυξήθηκε επίσης κατά 21 μονάδες από 15 μονάδες τον Ιανουάριο, ενώ για τους κατασκευαστές μηχανημάτων και μηχανολογικού εξοπλισμού αυξήθηκε κατά 19 μονάδες από 12 μονάδες τον Ιανουάριο.</w:t>
            </w:r>
          </w:p>
          <w:p w:rsidR="00A41DC7" w:rsidRDefault="00A41DC7" w:rsidP="00823F3B">
            <w:pPr>
              <w:jc w:val="both"/>
              <w:rPr>
                <w:bCs/>
              </w:rPr>
            </w:pPr>
          </w:p>
          <w:p w:rsidR="00A41DC7" w:rsidRDefault="00A41DC7" w:rsidP="00823F3B">
            <w:pPr>
              <w:jc w:val="both"/>
              <w:rPr>
                <w:bCs/>
              </w:rPr>
            </w:pPr>
            <w:r>
              <w:rPr>
                <w:bCs/>
              </w:rPr>
              <w:t>Αντίθετα η βιομηχανία ενδυμάτων καταγράφει τις χειρότερες επιδόσεις</w:t>
            </w:r>
            <w:r w:rsidR="00266FDE">
              <w:rPr>
                <w:bCs/>
              </w:rPr>
              <w:t xml:space="preserve">, αν και οι βιομηχανίες που συμμετείχαν στην συγκεκριμένη έρευνα ήταν λιγότερο απαισιόδοξες για την μετέπειτα πορεία του κλάδου και τις επιδόσεις του. Ο αντίστοιχος δείκτης εξακολουθεί να παραμένει σημαντικά αρνητικός, με μία ελαφρά μείωση στις μείον 60 μονάδες από μείον 84 μονάδες τον περασμένο Ιανουάριο. </w:t>
            </w:r>
          </w:p>
          <w:p w:rsidR="00266FDE" w:rsidRDefault="00266FDE" w:rsidP="00823F3B">
            <w:pPr>
              <w:jc w:val="both"/>
              <w:rPr>
                <w:bCs/>
              </w:rPr>
            </w:pPr>
          </w:p>
          <w:p w:rsidR="00266FDE" w:rsidRPr="00A41DC7" w:rsidRDefault="00266FDE" w:rsidP="00823F3B">
            <w:pPr>
              <w:jc w:val="both"/>
              <w:rPr>
                <w:bCs/>
              </w:rPr>
            </w:pPr>
            <w:r>
              <w:rPr>
                <w:bCs/>
              </w:rPr>
              <w:t xml:space="preserve">Επίσης και για την </w:t>
            </w:r>
            <w:proofErr w:type="spellStart"/>
            <w:r>
              <w:rPr>
                <w:bCs/>
              </w:rPr>
              <w:t>επιπλοβιομηχανία</w:t>
            </w:r>
            <w:proofErr w:type="spellEnd"/>
            <w:r>
              <w:rPr>
                <w:bCs/>
              </w:rPr>
              <w:t xml:space="preserve"> η κατάσταση και οι σημειούμενες επιδόσεις καταγράφουν παρόμοια εικόνα με εκείνη της βιομηχανίας ενδυμάτων, με τον αντίστοιχο Δείκτη να εξακολουθεί στα αρνητικά </w:t>
            </w:r>
            <w:proofErr w:type="spellStart"/>
            <w:r>
              <w:rPr>
                <w:bCs/>
              </w:rPr>
              <w:t>πρόσιμα</w:t>
            </w:r>
            <w:proofErr w:type="spellEnd"/>
            <w:r>
              <w:rPr>
                <w:bCs/>
              </w:rPr>
              <w:t xml:space="preserve"> και να μειώνεται περαιτέρω στις μείον 33 μονάδες από μείον 15 μονάδες τον Ιανουάριο. </w:t>
            </w:r>
          </w:p>
          <w:p w:rsidR="009C340D" w:rsidRDefault="009C340D" w:rsidP="00823F3B">
            <w:pPr>
              <w:jc w:val="both"/>
              <w:rPr>
                <w:bCs/>
              </w:rPr>
            </w:pPr>
          </w:p>
          <w:p w:rsidR="00D55B28" w:rsidRDefault="00D55B28" w:rsidP="00251444">
            <w:pPr>
              <w:jc w:val="both"/>
              <w:rPr>
                <w:b/>
                <w:bCs/>
              </w:rPr>
            </w:pPr>
          </w:p>
          <w:p w:rsidR="00D55B28" w:rsidRDefault="00D55B28" w:rsidP="00251444">
            <w:pPr>
              <w:jc w:val="both"/>
              <w:rPr>
                <w:b/>
                <w:bCs/>
              </w:rPr>
            </w:pPr>
          </w:p>
          <w:p w:rsidR="00D55B28" w:rsidRDefault="00D55B28" w:rsidP="00251444">
            <w:pPr>
              <w:jc w:val="both"/>
              <w:rPr>
                <w:b/>
                <w:bCs/>
              </w:rPr>
            </w:pPr>
          </w:p>
          <w:p w:rsidR="00266FDE" w:rsidRDefault="00266FDE" w:rsidP="00251444">
            <w:pPr>
              <w:jc w:val="both"/>
              <w:rPr>
                <w:b/>
                <w:bCs/>
              </w:rPr>
            </w:pPr>
          </w:p>
          <w:p w:rsidR="00266FDE" w:rsidRDefault="00266FDE" w:rsidP="00251444">
            <w:pPr>
              <w:jc w:val="both"/>
              <w:rPr>
                <w:b/>
                <w:bCs/>
              </w:rPr>
            </w:pPr>
          </w:p>
          <w:p w:rsidR="00E74D7E" w:rsidRDefault="00C22A38" w:rsidP="00251444">
            <w:pPr>
              <w:jc w:val="both"/>
              <w:rPr>
                <w:bCs/>
              </w:rPr>
            </w:pPr>
            <w:r>
              <w:rPr>
                <w:bCs/>
              </w:rPr>
              <w:t xml:space="preserve">                                                                   Ο Προϊστάμενος </w:t>
            </w:r>
          </w:p>
          <w:p w:rsidR="00C22A38" w:rsidRDefault="00C22A38" w:rsidP="00251444">
            <w:pPr>
              <w:jc w:val="both"/>
              <w:rPr>
                <w:bCs/>
              </w:rPr>
            </w:pPr>
          </w:p>
          <w:p w:rsidR="003A0FAF" w:rsidRDefault="003A0FAF" w:rsidP="00251444">
            <w:pPr>
              <w:jc w:val="both"/>
              <w:rPr>
                <w:bCs/>
              </w:rPr>
            </w:pPr>
          </w:p>
          <w:p w:rsidR="00C22A38" w:rsidRDefault="00C22A38" w:rsidP="00251444">
            <w:pPr>
              <w:jc w:val="both"/>
              <w:rPr>
                <w:bCs/>
              </w:rPr>
            </w:pPr>
            <w:r>
              <w:rPr>
                <w:bCs/>
              </w:rPr>
              <w:t xml:space="preserve">                                                                Θεόδωρος </w:t>
            </w:r>
            <w:proofErr w:type="spellStart"/>
            <w:r>
              <w:rPr>
                <w:bCs/>
              </w:rPr>
              <w:t>Ξυπολιάς</w:t>
            </w:r>
            <w:proofErr w:type="spellEnd"/>
          </w:p>
          <w:p w:rsidR="00C22A38" w:rsidRPr="00E21D2B" w:rsidRDefault="00C22A38" w:rsidP="00251444">
            <w:pPr>
              <w:jc w:val="both"/>
              <w:rPr>
                <w:bCs/>
              </w:rPr>
            </w:pPr>
            <w:r>
              <w:rPr>
                <w:bCs/>
              </w:rPr>
              <w:t xml:space="preserve">                                                                 Σύμβουλος ΟΕΥ Α΄ </w:t>
            </w:r>
          </w:p>
          <w:p w:rsidR="000345B7" w:rsidRPr="00E21D2B" w:rsidRDefault="000345B7" w:rsidP="00251444">
            <w:pPr>
              <w:jc w:val="both"/>
              <w:rPr>
                <w:bCs/>
              </w:rPr>
            </w:pPr>
          </w:p>
          <w:p w:rsidR="000345B7" w:rsidRPr="00E21D2B" w:rsidRDefault="000345B7" w:rsidP="00251444">
            <w:pPr>
              <w:jc w:val="both"/>
              <w:rPr>
                <w:bCs/>
              </w:rPr>
            </w:pPr>
          </w:p>
          <w:p w:rsidR="00273E08" w:rsidRPr="000345B7" w:rsidRDefault="00273E08" w:rsidP="00E83978">
            <w:pPr>
              <w:jc w:val="both"/>
              <w:rPr>
                <w:bCs/>
              </w:rPr>
            </w:pPr>
          </w:p>
        </w:tc>
      </w:tr>
      <w:tr w:rsidR="00273E08" w:rsidRPr="00A27916" w:rsidTr="00273E08">
        <w:trPr>
          <w:gridAfter w:val="1"/>
          <w:wAfter w:w="305" w:type="dxa"/>
        </w:trPr>
        <w:tc>
          <w:tcPr>
            <w:tcW w:w="8946" w:type="dxa"/>
          </w:tcPr>
          <w:p w:rsidR="003C7B44" w:rsidRPr="00E74D7E" w:rsidRDefault="003C7B44" w:rsidP="00F152C7">
            <w:pPr>
              <w:rPr>
                <w:bCs/>
              </w:rPr>
            </w:pPr>
          </w:p>
        </w:tc>
      </w:tr>
      <w:tr w:rsidR="00273E08" w:rsidRPr="00A27916" w:rsidTr="00273E08">
        <w:trPr>
          <w:gridAfter w:val="1"/>
          <w:wAfter w:w="305" w:type="dxa"/>
        </w:trPr>
        <w:tc>
          <w:tcPr>
            <w:tcW w:w="8946" w:type="dxa"/>
          </w:tcPr>
          <w:p w:rsidR="000A1D64" w:rsidRDefault="000A1D64" w:rsidP="00B12DE8">
            <w:pPr>
              <w:jc w:val="both"/>
              <w:rPr>
                <w:b/>
                <w:bCs/>
              </w:rPr>
            </w:pPr>
          </w:p>
        </w:tc>
      </w:tr>
      <w:tr w:rsidR="00273E08" w:rsidRPr="00A27916" w:rsidTr="00273E08">
        <w:trPr>
          <w:gridAfter w:val="1"/>
          <w:wAfter w:w="305" w:type="dxa"/>
        </w:trPr>
        <w:tc>
          <w:tcPr>
            <w:tcW w:w="8946" w:type="dxa"/>
          </w:tcPr>
          <w:p w:rsidR="00273E08" w:rsidRDefault="00273E08" w:rsidP="00B12DE8">
            <w:pPr>
              <w:jc w:val="both"/>
              <w:rPr>
                <w:b/>
                <w:bCs/>
              </w:rPr>
            </w:pPr>
          </w:p>
        </w:tc>
      </w:tr>
    </w:tbl>
    <w:p w:rsidR="001D54DA" w:rsidRPr="00E74D7E" w:rsidRDefault="001D54DA" w:rsidP="00E83978">
      <w:pPr>
        <w:spacing w:before="60" w:after="60" w:line="300" w:lineRule="auto"/>
        <w:ind w:right="-241"/>
        <w:jc w:val="both"/>
        <w:rPr>
          <w:b/>
          <w:sz w:val="6"/>
        </w:rPr>
      </w:pP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FDE" w:rsidRDefault="00266FDE" w:rsidP="0014093E">
      <w:r>
        <w:separator/>
      </w:r>
    </w:p>
  </w:endnote>
  <w:endnote w:type="continuationSeparator" w:id="1">
    <w:p w:rsidR="00266FDE" w:rsidRDefault="00266FDE"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FDE" w:rsidRPr="00AF2A95" w:rsidRDefault="00266FDE" w:rsidP="0074232E">
    <w:pPr>
      <w:pStyle w:val="Footer"/>
      <w:jc w:val="right"/>
      <w:rPr>
        <w:b/>
        <w:sz w:val="2"/>
        <w:szCs w:val="2"/>
      </w:rPr>
    </w:pPr>
    <w:r>
      <w:rPr>
        <w:b/>
      </w:rPr>
      <w:t>_____________________________________________________________________</w:t>
    </w:r>
  </w:p>
  <w:p w:rsidR="00266FDE" w:rsidRDefault="00266FDE" w:rsidP="0074232E">
    <w:pPr>
      <w:pStyle w:val="Footer"/>
      <w:jc w:val="center"/>
      <w:rPr>
        <w:b/>
        <w:sz w:val="20"/>
        <w:szCs w:val="20"/>
      </w:rPr>
    </w:pPr>
    <w:r>
      <w:rPr>
        <w:b/>
        <w:sz w:val="20"/>
        <w:szCs w:val="20"/>
      </w:rPr>
      <w:t>ΑΔΙΑΒΑΘΜΗΤΟ - ΚΑΝΟΝΙΚΟ</w:t>
    </w:r>
  </w:p>
  <w:p w:rsidR="00266FDE" w:rsidRPr="00914D01" w:rsidRDefault="00266FDE" w:rsidP="00BA26FF">
    <w:pPr>
      <w:ind w:right="42"/>
      <w:jc w:val="right"/>
    </w:pPr>
    <w:bookmarkStart w:id="0" w:name="_GoBack"/>
    <w:bookmarkEnd w:id="0"/>
    <w:r>
      <w:rPr>
        <w:sz w:val="20"/>
        <w:szCs w:val="20"/>
      </w:rPr>
      <w:t xml:space="preserve">Σελίδα </w:t>
    </w:r>
    <w:r w:rsidR="00D67B36">
      <w:rPr>
        <w:sz w:val="20"/>
        <w:szCs w:val="20"/>
      </w:rPr>
      <w:fldChar w:fldCharType="begin"/>
    </w:r>
    <w:r>
      <w:rPr>
        <w:sz w:val="20"/>
        <w:szCs w:val="20"/>
      </w:rPr>
      <w:instrText xml:space="preserve"> PAGE </w:instrText>
    </w:r>
    <w:r w:rsidR="00D67B36">
      <w:rPr>
        <w:sz w:val="20"/>
        <w:szCs w:val="20"/>
      </w:rPr>
      <w:fldChar w:fldCharType="separate"/>
    </w:r>
    <w:r w:rsidR="00A36D98">
      <w:rPr>
        <w:noProof/>
        <w:sz w:val="20"/>
        <w:szCs w:val="20"/>
      </w:rPr>
      <w:t>2</w:t>
    </w:r>
    <w:r w:rsidR="00D67B36">
      <w:rPr>
        <w:sz w:val="20"/>
        <w:szCs w:val="20"/>
      </w:rPr>
      <w:fldChar w:fldCharType="end"/>
    </w:r>
    <w:r>
      <w:rPr>
        <w:sz w:val="20"/>
        <w:szCs w:val="20"/>
      </w:rPr>
      <w:t xml:space="preserve"> από </w:t>
    </w:r>
    <w:r w:rsidR="00D67B36">
      <w:rPr>
        <w:sz w:val="20"/>
        <w:szCs w:val="20"/>
      </w:rPr>
      <w:fldChar w:fldCharType="begin"/>
    </w:r>
    <w:r>
      <w:rPr>
        <w:sz w:val="20"/>
        <w:szCs w:val="20"/>
      </w:rPr>
      <w:instrText xml:space="preserve"> NUMPAGES  </w:instrText>
    </w:r>
    <w:r w:rsidR="00D67B36">
      <w:rPr>
        <w:sz w:val="20"/>
        <w:szCs w:val="20"/>
      </w:rPr>
      <w:fldChar w:fldCharType="separate"/>
    </w:r>
    <w:r w:rsidR="00A36D98">
      <w:rPr>
        <w:noProof/>
        <w:sz w:val="20"/>
        <w:szCs w:val="20"/>
      </w:rPr>
      <w:t>2</w:t>
    </w:r>
    <w:r w:rsidR="00D67B36">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FDE" w:rsidRDefault="00266FDE" w:rsidP="0014093E">
      <w:r>
        <w:separator/>
      </w:r>
    </w:p>
  </w:footnote>
  <w:footnote w:type="continuationSeparator" w:id="1">
    <w:p w:rsidR="00266FDE" w:rsidRDefault="00266FDE"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9">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0">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1">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1">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6"/>
  </w:num>
  <w:num w:numId="11">
    <w:abstractNumId w:val="12"/>
  </w:num>
  <w:num w:numId="12">
    <w:abstractNumId w:val="10"/>
  </w:num>
  <w:num w:numId="13">
    <w:abstractNumId w:val="13"/>
  </w:num>
  <w:num w:numId="14">
    <w:abstractNumId w:val="17"/>
  </w:num>
  <w:num w:numId="15">
    <w:abstractNumId w:val="0"/>
  </w:num>
  <w:num w:numId="16">
    <w:abstractNumId w:val="18"/>
  </w:num>
  <w:num w:numId="17">
    <w:abstractNumId w:val="2"/>
  </w:num>
  <w:num w:numId="18">
    <w:abstractNumId w:val="21"/>
  </w:num>
  <w:num w:numId="19">
    <w:abstractNumId w:val="3"/>
  </w:num>
  <w:num w:numId="20">
    <w:abstractNumId w:val="1"/>
  </w:num>
  <w:num w:numId="21">
    <w:abstractNumId w:val="6"/>
  </w:num>
  <w:num w:numId="22">
    <w:abstractNumId w:val="5"/>
  </w:num>
  <w:num w:numId="23">
    <w:abstractNumId w:val="11"/>
  </w:num>
  <w:num w:numId="24">
    <w:abstractNumId w:val="22"/>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60769"/>
  </w:hdrShapeDefaults>
  <w:footnotePr>
    <w:footnote w:id="0"/>
    <w:footnote w:id="1"/>
  </w:footnotePr>
  <w:endnotePr>
    <w:endnote w:id="0"/>
    <w:endnote w:id="1"/>
  </w:endnotePr>
  <w:compat/>
  <w:rsids>
    <w:rsidRoot w:val="00C26DB6"/>
    <w:rsid w:val="0000163C"/>
    <w:rsid w:val="000024EC"/>
    <w:rsid w:val="00002ABE"/>
    <w:rsid w:val="00002E43"/>
    <w:rsid w:val="0000410D"/>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FB3"/>
    <w:rsid w:val="00047F9D"/>
    <w:rsid w:val="00051AFB"/>
    <w:rsid w:val="00053626"/>
    <w:rsid w:val="00053FCF"/>
    <w:rsid w:val="00054363"/>
    <w:rsid w:val="00054E39"/>
    <w:rsid w:val="00055113"/>
    <w:rsid w:val="0005619A"/>
    <w:rsid w:val="00057FA1"/>
    <w:rsid w:val="000606D7"/>
    <w:rsid w:val="0006093E"/>
    <w:rsid w:val="00062421"/>
    <w:rsid w:val="00062C69"/>
    <w:rsid w:val="00063036"/>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CC7"/>
    <w:rsid w:val="000A75A7"/>
    <w:rsid w:val="000A7D08"/>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78C9"/>
    <w:rsid w:val="00127949"/>
    <w:rsid w:val="00131C53"/>
    <w:rsid w:val="00133613"/>
    <w:rsid w:val="0013371A"/>
    <w:rsid w:val="001370AD"/>
    <w:rsid w:val="00140280"/>
    <w:rsid w:val="0014093E"/>
    <w:rsid w:val="00140B18"/>
    <w:rsid w:val="001410C2"/>
    <w:rsid w:val="00141689"/>
    <w:rsid w:val="00142218"/>
    <w:rsid w:val="00144C4F"/>
    <w:rsid w:val="00145FA4"/>
    <w:rsid w:val="00146050"/>
    <w:rsid w:val="001465F1"/>
    <w:rsid w:val="00146701"/>
    <w:rsid w:val="00147A0C"/>
    <w:rsid w:val="00151CBF"/>
    <w:rsid w:val="00151EB4"/>
    <w:rsid w:val="00152228"/>
    <w:rsid w:val="001524D0"/>
    <w:rsid w:val="001536B5"/>
    <w:rsid w:val="00154180"/>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CF6"/>
    <w:rsid w:val="00276ED2"/>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05E9"/>
    <w:rsid w:val="002A1168"/>
    <w:rsid w:val="002A25E2"/>
    <w:rsid w:val="002A41B9"/>
    <w:rsid w:val="002A58D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300E98"/>
    <w:rsid w:val="003019E7"/>
    <w:rsid w:val="0030218A"/>
    <w:rsid w:val="003028E4"/>
    <w:rsid w:val="00303815"/>
    <w:rsid w:val="00305981"/>
    <w:rsid w:val="00306087"/>
    <w:rsid w:val="00307773"/>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2C8F"/>
    <w:rsid w:val="003530CC"/>
    <w:rsid w:val="00356296"/>
    <w:rsid w:val="0036327E"/>
    <w:rsid w:val="003640A3"/>
    <w:rsid w:val="00364301"/>
    <w:rsid w:val="00364816"/>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C0C89"/>
    <w:rsid w:val="003C2372"/>
    <w:rsid w:val="003C3E93"/>
    <w:rsid w:val="003C442D"/>
    <w:rsid w:val="003C457E"/>
    <w:rsid w:val="003C4C0E"/>
    <w:rsid w:val="003C70D7"/>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24DC"/>
    <w:rsid w:val="00472689"/>
    <w:rsid w:val="0047361A"/>
    <w:rsid w:val="00473AAB"/>
    <w:rsid w:val="004748EA"/>
    <w:rsid w:val="004750E8"/>
    <w:rsid w:val="0047522A"/>
    <w:rsid w:val="00476934"/>
    <w:rsid w:val="004779CF"/>
    <w:rsid w:val="004809FE"/>
    <w:rsid w:val="00480BDE"/>
    <w:rsid w:val="00481191"/>
    <w:rsid w:val="004818DE"/>
    <w:rsid w:val="00481976"/>
    <w:rsid w:val="00481CDB"/>
    <w:rsid w:val="004828EC"/>
    <w:rsid w:val="00482AA7"/>
    <w:rsid w:val="00483880"/>
    <w:rsid w:val="00484215"/>
    <w:rsid w:val="00486397"/>
    <w:rsid w:val="00486406"/>
    <w:rsid w:val="00486B59"/>
    <w:rsid w:val="004875D1"/>
    <w:rsid w:val="00487B73"/>
    <w:rsid w:val="00490CAD"/>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E2C"/>
    <w:rsid w:val="00521E7F"/>
    <w:rsid w:val="005243A0"/>
    <w:rsid w:val="005258F4"/>
    <w:rsid w:val="00526CB9"/>
    <w:rsid w:val="00532A5E"/>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73D"/>
    <w:rsid w:val="00557AAF"/>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212"/>
    <w:rsid w:val="00595F63"/>
    <w:rsid w:val="00596D3C"/>
    <w:rsid w:val="005A1A88"/>
    <w:rsid w:val="005A208A"/>
    <w:rsid w:val="005A2B6B"/>
    <w:rsid w:val="005A34E9"/>
    <w:rsid w:val="005A3619"/>
    <w:rsid w:val="005A36DE"/>
    <w:rsid w:val="005A37F9"/>
    <w:rsid w:val="005A485E"/>
    <w:rsid w:val="005A6469"/>
    <w:rsid w:val="005A7DC4"/>
    <w:rsid w:val="005B493A"/>
    <w:rsid w:val="005B5D09"/>
    <w:rsid w:val="005B72B8"/>
    <w:rsid w:val="005B7463"/>
    <w:rsid w:val="005B7B82"/>
    <w:rsid w:val="005C2111"/>
    <w:rsid w:val="005C512C"/>
    <w:rsid w:val="005C593C"/>
    <w:rsid w:val="005C5A44"/>
    <w:rsid w:val="005C6A71"/>
    <w:rsid w:val="005D134F"/>
    <w:rsid w:val="005D1478"/>
    <w:rsid w:val="005D266B"/>
    <w:rsid w:val="005D3F86"/>
    <w:rsid w:val="005D50EC"/>
    <w:rsid w:val="005D59A7"/>
    <w:rsid w:val="005D5C9A"/>
    <w:rsid w:val="005D613C"/>
    <w:rsid w:val="005E0172"/>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60057E"/>
    <w:rsid w:val="00600D0D"/>
    <w:rsid w:val="00600D37"/>
    <w:rsid w:val="006021BB"/>
    <w:rsid w:val="00602272"/>
    <w:rsid w:val="00602572"/>
    <w:rsid w:val="006034CA"/>
    <w:rsid w:val="006037BE"/>
    <w:rsid w:val="00603844"/>
    <w:rsid w:val="006038F0"/>
    <w:rsid w:val="00603DB8"/>
    <w:rsid w:val="00605385"/>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40264"/>
    <w:rsid w:val="00641383"/>
    <w:rsid w:val="00641AD5"/>
    <w:rsid w:val="006433DA"/>
    <w:rsid w:val="00643A39"/>
    <w:rsid w:val="006448F1"/>
    <w:rsid w:val="00646634"/>
    <w:rsid w:val="00650051"/>
    <w:rsid w:val="00651CEA"/>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3437"/>
    <w:rsid w:val="0068363A"/>
    <w:rsid w:val="00684750"/>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A62"/>
    <w:rsid w:val="006D4B36"/>
    <w:rsid w:val="006D574B"/>
    <w:rsid w:val="006D690E"/>
    <w:rsid w:val="006D730F"/>
    <w:rsid w:val="006E0DB4"/>
    <w:rsid w:val="006E1495"/>
    <w:rsid w:val="006E1AAF"/>
    <w:rsid w:val="006E1FC1"/>
    <w:rsid w:val="006E2DC2"/>
    <w:rsid w:val="006E32E0"/>
    <w:rsid w:val="006E34B1"/>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515"/>
    <w:rsid w:val="0071664A"/>
    <w:rsid w:val="00716973"/>
    <w:rsid w:val="00717F4F"/>
    <w:rsid w:val="0072115B"/>
    <w:rsid w:val="00721F93"/>
    <w:rsid w:val="007229A8"/>
    <w:rsid w:val="007238C1"/>
    <w:rsid w:val="00723E38"/>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628D"/>
    <w:rsid w:val="008067ED"/>
    <w:rsid w:val="0081043E"/>
    <w:rsid w:val="00810643"/>
    <w:rsid w:val="0081090C"/>
    <w:rsid w:val="00813095"/>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4B78"/>
    <w:rsid w:val="008A56F4"/>
    <w:rsid w:val="008A58DD"/>
    <w:rsid w:val="008A5B78"/>
    <w:rsid w:val="008A5B9B"/>
    <w:rsid w:val="008A732E"/>
    <w:rsid w:val="008A7981"/>
    <w:rsid w:val="008A7E09"/>
    <w:rsid w:val="008B0498"/>
    <w:rsid w:val="008B1B54"/>
    <w:rsid w:val="008B3616"/>
    <w:rsid w:val="008B3C86"/>
    <w:rsid w:val="008B3D03"/>
    <w:rsid w:val="008B47A3"/>
    <w:rsid w:val="008B574B"/>
    <w:rsid w:val="008C5AD8"/>
    <w:rsid w:val="008C6014"/>
    <w:rsid w:val="008C65B5"/>
    <w:rsid w:val="008C6A88"/>
    <w:rsid w:val="008C7D9D"/>
    <w:rsid w:val="008D07E3"/>
    <w:rsid w:val="008D2985"/>
    <w:rsid w:val="008D3360"/>
    <w:rsid w:val="008D3743"/>
    <w:rsid w:val="008D3E16"/>
    <w:rsid w:val="008D4B06"/>
    <w:rsid w:val="008D4C70"/>
    <w:rsid w:val="008D62BB"/>
    <w:rsid w:val="008D6ACD"/>
    <w:rsid w:val="008D6D0E"/>
    <w:rsid w:val="008E253F"/>
    <w:rsid w:val="008E47F3"/>
    <w:rsid w:val="008E4841"/>
    <w:rsid w:val="008E4AFA"/>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ACF"/>
    <w:rsid w:val="009E6D58"/>
    <w:rsid w:val="009E6DE0"/>
    <w:rsid w:val="009F2781"/>
    <w:rsid w:val="009F2C8C"/>
    <w:rsid w:val="009F3F4B"/>
    <w:rsid w:val="009F4E0F"/>
    <w:rsid w:val="009F5C94"/>
    <w:rsid w:val="009F6DA0"/>
    <w:rsid w:val="00A0023A"/>
    <w:rsid w:val="00A02024"/>
    <w:rsid w:val="00A03B9C"/>
    <w:rsid w:val="00A03EF3"/>
    <w:rsid w:val="00A04280"/>
    <w:rsid w:val="00A0431B"/>
    <w:rsid w:val="00A05A52"/>
    <w:rsid w:val="00A10BDC"/>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7916"/>
    <w:rsid w:val="00A30093"/>
    <w:rsid w:val="00A33698"/>
    <w:rsid w:val="00A346F5"/>
    <w:rsid w:val="00A34A07"/>
    <w:rsid w:val="00A355E5"/>
    <w:rsid w:val="00A36695"/>
    <w:rsid w:val="00A36D98"/>
    <w:rsid w:val="00A41DC7"/>
    <w:rsid w:val="00A42588"/>
    <w:rsid w:val="00A427D5"/>
    <w:rsid w:val="00A547BD"/>
    <w:rsid w:val="00A5501D"/>
    <w:rsid w:val="00A55CB8"/>
    <w:rsid w:val="00A5684B"/>
    <w:rsid w:val="00A56DE2"/>
    <w:rsid w:val="00A57153"/>
    <w:rsid w:val="00A57C5E"/>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F83"/>
    <w:rsid w:val="00B230BF"/>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7934"/>
    <w:rsid w:val="00B71417"/>
    <w:rsid w:val="00B71988"/>
    <w:rsid w:val="00B73C81"/>
    <w:rsid w:val="00B750E6"/>
    <w:rsid w:val="00B755FA"/>
    <w:rsid w:val="00B75689"/>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2140"/>
    <w:rsid w:val="00C3352D"/>
    <w:rsid w:val="00C34051"/>
    <w:rsid w:val="00C364BE"/>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71B9"/>
    <w:rsid w:val="00CA71FA"/>
    <w:rsid w:val="00CA7DAA"/>
    <w:rsid w:val="00CB04F1"/>
    <w:rsid w:val="00CB0562"/>
    <w:rsid w:val="00CB0BFF"/>
    <w:rsid w:val="00CB1E9C"/>
    <w:rsid w:val="00CB2FB1"/>
    <w:rsid w:val="00CB4CB6"/>
    <w:rsid w:val="00CB79B7"/>
    <w:rsid w:val="00CC004D"/>
    <w:rsid w:val="00CC068A"/>
    <w:rsid w:val="00CC0BDB"/>
    <w:rsid w:val="00CC13DA"/>
    <w:rsid w:val="00CC14B1"/>
    <w:rsid w:val="00CC1719"/>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4507"/>
    <w:rsid w:val="00E246F8"/>
    <w:rsid w:val="00E2493F"/>
    <w:rsid w:val="00E254F7"/>
    <w:rsid w:val="00E25A6F"/>
    <w:rsid w:val="00E260A4"/>
    <w:rsid w:val="00E271AF"/>
    <w:rsid w:val="00E27460"/>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CBF"/>
    <w:rsid w:val="00EB2903"/>
    <w:rsid w:val="00EB319B"/>
    <w:rsid w:val="00EB3562"/>
    <w:rsid w:val="00EB3D7B"/>
    <w:rsid w:val="00EB4927"/>
    <w:rsid w:val="00EB69F4"/>
    <w:rsid w:val="00EB6B97"/>
    <w:rsid w:val="00EC044F"/>
    <w:rsid w:val="00EC045A"/>
    <w:rsid w:val="00EC10A7"/>
    <w:rsid w:val="00EC2100"/>
    <w:rsid w:val="00EC23E0"/>
    <w:rsid w:val="00EC2704"/>
    <w:rsid w:val="00EC3C72"/>
    <w:rsid w:val="00EC48E7"/>
    <w:rsid w:val="00EC5DDD"/>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488"/>
    <w:rsid w:val="00F47F17"/>
    <w:rsid w:val="00F501C4"/>
    <w:rsid w:val="00F503F6"/>
    <w:rsid w:val="00F50CE4"/>
    <w:rsid w:val="00F51AB7"/>
    <w:rsid w:val="00F52A90"/>
    <w:rsid w:val="00F5326A"/>
    <w:rsid w:val="00F5373C"/>
    <w:rsid w:val="00F54BB1"/>
    <w:rsid w:val="00F55DB8"/>
    <w:rsid w:val="00F568FA"/>
    <w:rsid w:val="00F57897"/>
    <w:rsid w:val="00F57FB4"/>
    <w:rsid w:val="00F60B73"/>
    <w:rsid w:val="00F60D1F"/>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416C"/>
    <w:rsid w:val="00FB4820"/>
    <w:rsid w:val="00FB5F67"/>
    <w:rsid w:val="00FB75EC"/>
    <w:rsid w:val="00FC2567"/>
    <w:rsid w:val="00FC30D9"/>
    <w:rsid w:val="00FC37B5"/>
    <w:rsid w:val="00FC3FC5"/>
    <w:rsid w:val="00FC49B4"/>
    <w:rsid w:val="00FC55BA"/>
    <w:rsid w:val="00FC55D8"/>
    <w:rsid w:val="00FD0621"/>
    <w:rsid w:val="00FD097D"/>
    <w:rsid w:val="00FD0A9A"/>
    <w:rsid w:val="00FD0C54"/>
    <w:rsid w:val="00FD2034"/>
    <w:rsid w:val="00FD2A2D"/>
    <w:rsid w:val="00FD3B60"/>
    <w:rsid w:val="00FD5E5D"/>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19C63-B4F0-4DC0-AD1B-64DFE448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533</Words>
  <Characters>3041</Characters>
  <Application>Microsoft Office Word</Application>
  <DocSecurity>0</DocSecurity>
  <Lines>25</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2021-03-12T12:39:00Z</cp:lastPrinted>
  <dcterms:created xsi:type="dcterms:W3CDTF">2021-03-12T11:54:00Z</dcterms:created>
  <dcterms:modified xsi:type="dcterms:W3CDTF">2021-03-12T12:43:00Z</dcterms:modified>
</cp:coreProperties>
</file>