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1528284"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B15FD6">
        <w:tc>
          <w:tcPr>
            <w:tcW w:w="1107" w:type="dxa"/>
            <w:hideMark/>
          </w:tcPr>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p>
        </w:tc>
        <w:tc>
          <w:tcPr>
            <w:tcW w:w="5999" w:type="dxa"/>
            <w:hideMark/>
          </w:tcPr>
          <w:p w:rsidR="001F7E1F" w:rsidRPr="00F16EB2" w:rsidRDefault="001F7E1F" w:rsidP="00495804">
            <w:pPr>
              <w:rPr>
                <w:sz w:val="12"/>
              </w:rPr>
            </w:pPr>
          </w:p>
        </w:tc>
      </w:tr>
      <w:tr w:rsidR="001F7E1F" w:rsidRPr="00A27916" w:rsidTr="00B15FD6">
        <w:tc>
          <w:tcPr>
            <w:tcW w:w="1107" w:type="dxa"/>
            <w:hideMark/>
          </w:tcPr>
          <w:p w:rsidR="001F7E1F" w:rsidRDefault="001F7E1F" w:rsidP="00495804">
            <w:pPr>
              <w:jc w:val="right"/>
              <w:rPr>
                <w:b/>
                <w:bCs/>
              </w:rPr>
            </w:pPr>
          </w:p>
        </w:tc>
        <w:tc>
          <w:tcPr>
            <w:tcW w:w="407" w:type="dxa"/>
            <w:hideMark/>
          </w:tcPr>
          <w:p w:rsidR="001F7E1F" w:rsidRPr="006960A0" w:rsidRDefault="001F7E1F" w:rsidP="00495804">
            <w:pPr>
              <w:jc w:val="both"/>
              <w:rPr>
                <w:bCs/>
              </w:rPr>
            </w:pPr>
          </w:p>
        </w:tc>
        <w:tc>
          <w:tcPr>
            <w:tcW w:w="5999" w:type="dxa"/>
            <w:hideMark/>
          </w:tcPr>
          <w:p w:rsidR="0097619C" w:rsidRPr="008D3360" w:rsidRDefault="0097619C" w:rsidP="00D97BFD">
            <w:pPr>
              <w:rPr>
                <w:b/>
              </w:rPr>
            </w:pPr>
          </w:p>
        </w:tc>
      </w:tr>
      <w:tr w:rsidR="00236C82" w:rsidRPr="00A27916" w:rsidTr="00B15FD6">
        <w:tc>
          <w:tcPr>
            <w:tcW w:w="1107" w:type="dxa"/>
            <w:hideMark/>
          </w:tcPr>
          <w:p w:rsidR="00236C82" w:rsidRPr="00522104" w:rsidRDefault="00236C82" w:rsidP="00522104">
            <w:pPr>
              <w:rPr>
                <w:b/>
                <w:bCs/>
              </w:rPr>
            </w:pPr>
          </w:p>
        </w:tc>
        <w:tc>
          <w:tcPr>
            <w:tcW w:w="407" w:type="dxa"/>
            <w:hideMark/>
          </w:tcPr>
          <w:p w:rsidR="00236C82" w:rsidRDefault="00236C82" w:rsidP="00782E71">
            <w:pPr>
              <w:jc w:val="both"/>
              <w:rPr>
                <w:bCs/>
              </w:rPr>
            </w:pPr>
          </w:p>
        </w:tc>
        <w:tc>
          <w:tcPr>
            <w:tcW w:w="5999" w:type="dxa"/>
          </w:tcPr>
          <w:p w:rsidR="00236C82" w:rsidRDefault="00236C82" w:rsidP="00782E71">
            <w:pPr>
              <w:jc w:val="both"/>
              <w:rPr>
                <w:bCs/>
              </w:rPr>
            </w:pPr>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8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2"/>
      </w:tblGrid>
      <w:tr w:rsidR="00273E08" w:rsidRPr="00481976" w:rsidTr="00B15FD6">
        <w:tc>
          <w:tcPr>
            <w:tcW w:w="9852" w:type="dxa"/>
            <w:tcBorders>
              <w:top w:val="nil"/>
              <w:left w:val="nil"/>
              <w:bottom w:val="nil"/>
              <w:right w:val="nil"/>
            </w:tcBorders>
            <w:hideMark/>
          </w:tcPr>
          <w:p w:rsidR="00640264" w:rsidRDefault="00273E08" w:rsidP="00251444">
            <w:pPr>
              <w:jc w:val="both"/>
              <w:rPr>
                <w:b/>
                <w:bCs/>
              </w:rPr>
            </w:pPr>
            <w:r w:rsidRPr="00481976">
              <w:rPr>
                <w:b/>
                <w:bCs/>
              </w:rPr>
              <w:t>ΘΕΜΑ:</w:t>
            </w:r>
            <w:r w:rsidR="00476934">
              <w:rPr>
                <w:b/>
                <w:bCs/>
              </w:rPr>
              <w:t xml:space="preserve">  «Ινστιτούτο Οικονομικών Ε</w:t>
            </w:r>
            <w:r w:rsidR="00E37654">
              <w:rPr>
                <w:b/>
                <w:bCs/>
              </w:rPr>
              <w:t>ρε</w:t>
            </w:r>
            <w:r w:rsidR="004B1483">
              <w:rPr>
                <w:b/>
                <w:bCs/>
              </w:rPr>
              <w:t>υνών – Σταθεροποίηση του δείκτη επιχειρηματικού κλίματος στα Ανατολικά Κρατίδια της Γερμανίας</w:t>
            </w:r>
            <w:r w:rsidR="00640264" w:rsidRPr="00481976">
              <w:rPr>
                <w:b/>
                <w:bCs/>
              </w:rPr>
              <w:t>»</w:t>
            </w:r>
          </w:p>
          <w:p w:rsidR="00476934" w:rsidRDefault="00476934" w:rsidP="00251444">
            <w:pPr>
              <w:jc w:val="both"/>
              <w:rPr>
                <w:b/>
                <w:bCs/>
              </w:rPr>
            </w:pPr>
          </w:p>
          <w:p w:rsidR="00B15FD6" w:rsidRDefault="00A42A34" w:rsidP="00251444">
            <w:pPr>
              <w:jc w:val="both"/>
              <w:rPr>
                <w:bCs/>
              </w:rPr>
            </w:pPr>
            <w:r>
              <w:rPr>
                <w:bCs/>
              </w:rPr>
              <w:t xml:space="preserve">Σύμφωνα με πρόσφατα στοιχεία του παραρτήματος του Ινστιτούτου Οικονομικών Ερευνών της Δρέσδης, αρμόδιου για τα ανατολικά κρατίδια της Γερμανίας, φαίνεται ότι ο δείκτης επιχειρηματικού κλίματος για τον μήνα Δεκέμβριο 2020 παρουσίασε σχετική σταθεροποίηση έναντι των προηγουμένων μηνών και πιο </w:t>
            </w:r>
            <w:r w:rsidR="00446328">
              <w:rPr>
                <w:bCs/>
              </w:rPr>
              <w:t xml:space="preserve">συγκεκριμένα </w:t>
            </w:r>
            <w:r>
              <w:rPr>
                <w:bCs/>
              </w:rPr>
              <w:t>για ολόκληρη την περιφέρεια των ανατολικών κρατιδίων αυξήθηκε από τις</w:t>
            </w:r>
            <w:r w:rsidR="00446328">
              <w:rPr>
                <w:bCs/>
              </w:rPr>
              <w:t xml:space="preserve"> 92,1 στις </w:t>
            </w:r>
            <w:r>
              <w:rPr>
                <w:bCs/>
              </w:rPr>
              <w:t>92,4 μονάδες. Από την ίδια έρευνα προκύπτει επίσης ότι, ενώ οι εκτιμήσεις των συμμετεχόντων επιχειρ</w:t>
            </w:r>
            <w:r w:rsidR="00446328">
              <w:rPr>
                <w:bCs/>
              </w:rPr>
              <w:t xml:space="preserve">ήσεων για την τρέχουσα κατάσταση </w:t>
            </w:r>
            <w:r>
              <w:rPr>
                <w:bCs/>
              </w:rPr>
              <w:t>ήταν σαφώς καλλίτερες</w:t>
            </w:r>
            <w:r w:rsidR="00446328">
              <w:rPr>
                <w:bCs/>
              </w:rPr>
              <w:t xml:space="preserve">, </w:t>
            </w:r>
            <w:r>
              <w:rPr>
                <w:bCs/>
              </w:rPr>
              <w:t>οι καθαρά επιχειρηματικές τους προσδο</w:t>
            </w:r>
            <w:r w:rsidR="00C00232">
              <w:rPr>
                <w:bCs/>
              </w:rPr>
              <w:t xml:space="preserve">κίες παρουσίασαν σχετική επιδείνωση. </w:t>
            </w:r>
          </w:p>
          <w:p w:rsidR="00A42A34" w:rsidRDefault="00A42A34" w:rsidP="00251444">
            <w:pPr>
              <w:jc w:val="both"/>
              <w:rPr>
                <w:bCs/>
              </w:rPr>
            </w:pPr>
          </w:p>
          <w:p w:rsidR="00A42A34" w:rsidRDefault="004A4DF1" w:rsidP="00251444">
            <w:pPr>
              <w:jc w:val="both"/>
              <w:rPr>
                <w:bCs/>
              </w:rPr>
            </w:pPr>
            <w:r>
              <w:rPr>
                <w:bCs/>
              </w:rPr>
              <w:t>Αναλυτικά ανά τομέα οι εκτιμήσεις για την πορεία του δείκτη επιχειρηματικού κλίματος έχουν ως εξής:</w:t>
            </w:r>
          </w:p>
          <w:p w:rsidR="004A4DF1" w:rsidRDefault="004A4DF1" w:rsidP="00251444">
            <w:pPr>
              <w:jc w:val="both"/>
              <w:rPr>
                <w:bCs/>
              </w:rPr>
            </w:pPr>
          </w:p>
          <w:p w:rsidR="004A4DF1" w:rsidRDefault="004A4DF1" w:rsidP="00251444">
            <w:pPr>
              <w:jc w:val="both"/>
              <w:rPr>
                <w:bCs/>
              </w:rPr>
            </w:pPr>
            <w:r>
              <w:rPr>
                <w:bCs/>
              </w:rPr>
              <w:t xml:space="preserve">Στον τομέα της </w:t>
            </w:r>
            <w:r w:rsidRPr="004A4DF1">
              <w:rPr>
                <w:b/>
                <w:bCs/>
              </w:rPr>
              <w:t xml:space="preserve">βιομηχανίας </w:t>
            </w:r>
            <w:r>
              <w:rPr>
                <w:bCs/>
              </w:rPr>
              <w:t>ο δείκτης επιχειρηματικού κλίματος παρέμεινε και τον μήνα Δεκέμβριο 2020 στα ίδια χαμηλά επίπεδα σε σύγκριση με το προηγούμενο χρονικό διάστημα. Οι βιομηχανικές επιχειρήσεις αξιολόγησαν την τρέχουσα κατάσταση ως ελαφρώς καλλίτερη συγκριτικά προς τους προηγούμενους μήνες. Συγχρόνως αναθεώρησαν τις προοπτικές τους για το επόμενους μήνες του 2021 ως αρκετά δυσοίωνες.</w:t>
            </w:r>
          </w:p>
          <w:p w:rsidR="004A4DF1" w:rsidRDefault="004A4DF1" w:rsidP="00251444">
            <w:pPr>
              <w:jc w:val="both"/>
              <w:rPr>
                <w:bCs/>
              </w:rPr>
            </w:pPr>
          </w:p>
          <w:p w:rsidR="004A4DF1" w:rsidRDefault="004A4DF1" w:rsidP="00251444">
            <w:pPr>
              <w:jc w:val="both"/>
              <w:rPr>
                <w:bCs/>
              </w:rPr>
            </w:pPr>
            <w:r>
              <w:rPr>
                <w:bCs/>
              </w:rPr>
              <w:t xml:space="preserve">Στον τομέα των </w:t>
            </w:r>
            <w:r w:rsidRPr="004A4DF1">
              <w:rPr>
                <w:b/>
                <w:bCs/>
              </w:rPr>
              <w:t xml:space="preserve">υπηρεσιών </w:t>
            </w:r>
            <w:r w:rsidR="00E65ECE">
              <w:rPr>
                <w:bCs/>
              </w:rPr>
              <w:t>ο αντίστοιχος δείκτης παρουσιάζει σχετική αύξηση αλλαγή που οφείλεται κυρίως σε μεγάλο βαθμό στις θετικές εκτιμήσεις της τρέχουσας κατάστασης. Για τους επόμενους έξι μήνες οι προσδοκίες για τον συγκεκριμένο τομέα χαρακτηρίζονται ως αρκετά χαμηλές και χωρίς να υπάρχει οποιαδήποτε αισιοδοξία για περαιτέρω βελτίωση της κατάστασης.</w:t>
            </w:r>
          </w:p>
          <w:p w:rsidR="00E65ECE" w:rsidRDefault="00E65ECE" w:rsidP="00251444">
            <w:pPr>
              <w:jc w:val="both"/>
              <w:rPr>
                <w:bCs/>
              </w:rPr>
            </w:pPr>
          </w:p>
          <w:p w:rsidR="00E65ECE" w:rsidRDefault="00E65ECE" w:rsidP="00251444">
            <w:pPr>
              <w:jc w:val="both"/>
              <w:rPr>
                <w:bCs/>
              </w:rPr>
            </w:pPr>
            <w:r>
              <w:rPr>
                <w:bCs/>
              </w:rPr>
              <w:t xml:space="preserve">Στον τομέα του </w:t>
            </w:r>
            <w:r w:rsidRPr="00E65ECE">
              <w:rPr>
                <w:b/>
                <w:bCs/>
              </w:rPr>
              <w:t xml:space="preserve">εμπορίου </w:t>
            </w:r>
            <w:r>
              <w:rPr>
                <w:bCs/>
              </w:rPr>
              <w:t>τα συναισθήματα ήταν οριακά καλλίτερα. Οι αξιολογήσεις της τρέχουσας κατάστασης και των προσδοκιών των επιχειρήσεων παρουσίασαν ελαφρά βελτ</w:t>
            </w:r>
            <w:r w:rsidR="00446328">
              <w:rPr>
                <w:bCs/>
              </w:rPr>
              <w:t xml:space="preserve">ίωση. Ενώ για τις επιχειρήσεις </w:t>
            </w:r>
            <w:r w:rsidR="00446328" w:rsidRPr="00446328">
              <w:rPr>
                <w:b/>
                <w:bCs/>
              </w:rPr>
              <w:t>χονδρεμπορίου,</w:t>
            </w:r>
            <w:r w:rsidR="00446328">
              <w:rPr>
                <w:bCs/>
              </w:rPr>
              <w:t xml:space="preserve"> </w:t>
            </w:r>
            <w:r>
              <w:rPr>
                <w:bCs/>
              </w:rPr>
              <w:t xml:space="preserve">ο δείκτης επιχειρηματικού κλίματος παρουσιάζει σταδιακή αύξηση, για </w:t>
            </w:r>
            <w:r w:rsidR="00446328">
              <w:rPr>
                <w:bCs/>
              </w:rPr>
              <w:t xml:space="preserve">τις επιχειρήσεις </w:t>
            </w:r>
            <w:r w:rsidR="00446328" w:rsidRPr="00446328">
              <w:rPr>
                <w:b/>
                <w:bCs/>
              </w:rPr>
              <w:t>λιανεμπορίου</w:t>
            </w:r>
            <w:r w:rsidR="00446328">
              <w:rPr>
                <w:bCs/>
              </w:rPr>
              <w:t xml:space="preserve"> </w:t>
            </w:r>
            <w:r>
              <w:rPr>
                <w:bCs/>
              </w:rPr>
              <w:t>παρουσιάζει σημαντική μείωση.</w:t>
            </w:r>
          </w:p>
          <w:p w:rsidR="00E65ECE" w:rsidRDefault="00E65ECE" w:rsidP="00251444">
            <w:pPr>
              <w:jc w:val="both"/>
              <w:rPr>
                <w:bCs/>
              </w:rPr>
            </w:pPr>
          </w:p>
          <w:p w:rsidR="00E65ECE" w:rsidRDefault="00E65ECE" w:rsidP="00251444">
            <w:pPr>
              <w:jc w:val="both"/>
              <w:rPr>
                <w:bCs/>
              </w:rPr>
            </w:pPr>
            <w:r>
              <w:rPr>
                <w:bCs/>
              </w:rPr>
              <w:t xml:space="preserve">Τέλος, για τον τομέα των </w:t>
            </w:r>
            <w:r w:rsidRPr="00446328">
              <w:rPr>
                <w:b/>
                <w:bCs/>
              </w:rPr>
              <w:t xml:space="preserve">κατασκευών </w:t>
            </w:r>
            <w:r>
              <w:rPr>
                <w:bCs/>
              </w:rPr>
              <w:t xml:space="preserve">το επιχειρηματικό κλίμα χαρακτηρίζεται ως ιδιαίτερα αρνητικό. Για τις επιχειρήσεις που συμμετείχαν στην σχετική έρευνα οι συνολικές εκτιμήσεις τους ήταν αρκετά θετικές για την τρέχουσα κατάσταση αλλά ταυτόχρονα οι επιχειρηματικές τους προσδοκίες για τους επόμενους, τουλάχιστον έξι μήνες, </w:t>
            </w:r>
            <w:r w:rsidR="00446328">
              <w:rPr>
                <w:bCs/>
              </w:rPr>
              <w:t xml:space="preserve">κρίνονται ως ιδιαίτερα απαισιόδοξες με τάσεις περαιτέρω επιδείνωσης.  </w:t>
            </w:r>
          </w:p>
          <w:p w:rsidR="00446328" w:rsidRDefault="00446328" w:rsidP="00251444">
            <w:pPr>
              <w:jc w:val="both"/>
              <w:rPr>
                <w:bCs/>
              </w:rPr>
            </w:pPr>
          </w:p>
          <w:p w:rsidR="00446328" w:rsidRDefault="00446328" w:rsidP="00251444">
            <w:pPr>
              <w:jc w:val="both"/>
              <w:rPr>
                <w:bCs/>
              </w:rPr>
            </w:pPr>
          </w:p>
          <w:p w:rsidR="00446328" w:rsidRPr="00E65ECE" w:rsidRDefault="00446328" w:rsidP="00251444">
            <w:pPr>
              <w:jc w:val="both"/>
              <w:rPr>
                <w:bCs/>
              </w:rPr>
            </w:pPr>
            <w:r>
              <w:rPr>
                <w:bCs/>
                <w:noProof/>
                <w:lang w:val="en-US" w:eastAsia="en-US"/>
              </w:rPr>
              <w:lastRenderedPageBreak/>
              <w:drawing>
                <wp:inline distT="0" distB="0" distL="0" distR="0">
                  <wp:extent cx="5685155" cy="31965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85155" cy="3196590"/>
                          </a:xfrm>
                          <a:prstGeom prst="rect">
                            <a:avLst/>
                          </a:prstGeom>
                          <a:noFill/>
                          <a:ln w="9525">
                            <a:noFill/>
                            <a:miter lim="800000"/>
                            <a:headEnd/>
                            <a:tailEnd/>
                          </a:ln>
                        </pic:spPr>
                      </pic:pic>
                    </a:graphicData>
                  </a:graphic>
                </wp:inline>
              </w:drawing>
            </w: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B15FD6" w:rsidRDefault="00B15FD6" w:rsidP="00251444">
            <w:pPr>
              <w:jc w:val="both"/>
              <w:rPr>
                <w:bCs/>
              </w:rPr>
            </w:pPr>
          </w:p>
          <w:p w:rsidR="005732E4" w:rsidRDefault="005732E4" w:rsidP="00251444">
            <w:pPr>
              <w:jc w:val="both"/>
              <w:rPr>
                <w:bCs/>
              </w:rPr>
            </w:pPr>
          </w:p>
          <w:p w:rsidR="00446328" w:rsidRDefault="00446328" w:rsidP="00251444">
            <w:pPr>
              <w:jc w:val="both"/>
              <w:rPr>
                <w:bCs/>
              </w:rPr>
            </w:pPr>
          </w:p>
          <w:p w:rsidR="00446328" w:rsidRDefault="00446328" w:rsidP="00251444">
            <w:pPr>
              <w:jc w:val="both"/>
              <w:rPr>
                <w:bCs/>
              </w:rPr>
            </w:pPr>
          </w:p>
          <w:p w:rsidR="00446328" w:rsidRDefault="00446328" w:rsidP="00251444">
            <w:pPr>
              <w:jc w:val="both"/>
              <w:rPr>
                <w:bCs/>
              </w:rPr>
            </w:pPr>
          </w:p>
          <w:p w:rsidR="00446328" w:rsidRDefault="00446328" w:rsidP="00251444">
            <w:pPr>
              <w:jc w:val="both"/>
              <w:rPr>
                <w:bCs/>
              </w:rPr>
            </w:pPr>
          </w:p>
          <w:p w:rsidR="00650051" w:rsidRPr="005732E4" w:rsidRDefault="00650051" w:rsidP="00251444">
            <w:pPr>
              <w:jc w:val="both"/>
              <w:rPr>
                <w:bCs/>
              </w:rPr>
            </w:pPr>
          </w:p>
          <w:p w:rsidR="009F6DA0" w:rsidRPr="00481976" w:rsidRDefault="009F6DA0" w:rsidP="009F6DA0">
            <w:pPr>
              <w:jc w:val="both"/>
              <w:rPr>
                <w:b/>
                <w:bCs/>
              </w:rPr>
            </w:pPr>
          </w:p>
          <w:p w:rsidR="00F152C7" w:rsidRPr="00481976" w:rsidRDefault="00F152C7" w:rsidP="00251444">
            <w:pPr>
              <w:jc w:val="both"/>
              <w:rPr>
                <w:b/>
                <w:bCs/>
              </w:rPr>
            </w:pPr>
          </w:p>
          <w:p w:rsidR="00273E08" w:rsidRPr="00481976" w:rsidRDefault="00273E08" w:rsidP="00251444">
            <w:pPr>
              <w:jc w:val="both"/>
              <w:rPr>
                <w:bCs/>
              </w:rPr>
            </w:pPr>
          </w:p>
          <w:p w:rsidR="00273E08" w:rsidRPr="00481976" w:rsidRDefault="00273E08" w:rsidP="00776CF9">
            <w:pPr>
              <w:jc w:val="both"/>
              <w:rPr>
                <w:bCs/>
              </w:rPr>
            </w:pPr>
            <w:r w:rsidRPr="00481976">
              <w:rPr>
                <w:bCs/>
                <w:i/>
              </w:rPr>
              <w:t xml:space="preserve">                                                                          </w:t>
            </w:r>
          </w:p>
          <w:p w:rsidR="00273E08" w:rsidRPr="00481976" w:rsidRDefault="00273E08" w:rsidP="00251444">
            <w:pPr>
              <w:jc w:val="both"/>
              <w:rPr>
                <w:bCs/>
                <w:i/>
              </w:rPr>
            </w:pPr>
            <w:r w:rsidRPr="00481976">
              <w:rPr>
                <w:bCs/>
                <w:i/>
              </w:rPr>
              <w:t xml:space="preserve">  </w:t>
            </w:r>
          </w:p>
          <w:p w:rsidR="00273E08" w:rsidRPr="00481976" w:rsidRDefault="00273E08" w:rsidP="00251444">
            <w:pPr>
              <w:jc w:val="both"/>
              <w:rPr>
                <w:bCs/>
                <w:i/>
              </w:rPr>
            </w:pPr>
          </w:p>
          <w:p w:rsidR="00273E08" w:rsidRPr="00481976" w:rsidRDefault="00273E08" w:rsidP="00251444">
            <w:pPr>
              <w:jc w:val="both"/>
              <w:rPr>
                <w:bCs/>
                <w:i/>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1"/>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65C" w:rsidRDefault="0044465C" w:rsidP="0014093E">
      <w:r>
        <w:separator/>
      </w:r>
    </w:p>
  </w:endnote>
  <w:endnote w:type="continuationSeparator" w:id="1">
    <w:p w:rsidR="0044465C" w:rsidRDefault="0044465C"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5C" w:rsidRPr="00AF2A95" w:rsidRDefault="0044465C" w:rsidP="0074232E">
    <w:pPr>
      <w:pStyle w:val="Footer"/>
      <w:jc w:val="right"/>
      <w:rPr>
        <w:b/>
        <w:sz w:val="2"/>
        <w:szCs w:val="2"/>
      </w:rPr>
    </w:pPr>
    <w:r>
      <w:rPr>
        <w:b/>
      </w:rPr>
      <w:t>_____________________________________________________________________</w:t>
    </w:r>
  </w:p>
  <w:p w:rsidR="0044465C" w:rsidRDefault="0044465C" w:rsidP="0074232E">
    <w:pPr>
      <w:pStyle w:val="Footer"/>
      <w:jc w:val="center"/>
      <w:rPr>
        <w:b/>
        <w:sz w:val="20"/>
        <w:szCs w:val="20"/>
      </w:rPr>
    </w:pPr>
    <w:r>
      <w:rPr>
        <w:b/>
        <w:sz w:val="20"/>
        <w:szCs w:val="20"/>
      </w:rPr>
      <w:t>ΑΔΙΑΒΑΘΜΗΤΟ - ΚΑΝΟΝΙΚΟ</w:t>
    </w:r>
  </w:p>
  <w:p w:rsidR="0044465C" w:rsidRPr="00914D01" w:rsidRDefault="0044465C" w:rsidP="00BA26FF">
    <w:pPr>
      <w:ind w:right="42"/>
      <w:jc w:val="right"/>
    </w:pPr>
    <w:bookmarkStart w:id="0" w:name="_GoBack"/>
    <w:bookmarkEnd w:id="0"/>
    <w:r>
      <w:rPr>
        <w:sz w:val="20"/>
        <w:szCs w:val="20"/>
      </w:rPr>
      <w:t xml:space="preserve">Σελίδα </w:t>
    </w:r>
    <w:r w:rsidR="00737AF7">
      <w:rPr>
        <w:sz w:val="20"/>
        <w:szCs w:val="20"/>
      </w:rPr>
      <w:fldChar w:fldCharType="begin"/>
    </w:r>
    <w:r>
      <w:rPr>
        <w:sz w:val="20"/>
        <w:szCs w:val="20"/>
      </w:rPr>
      <w:instrText xml:space="preserve"> PAGE </w:instrText>
    </w:r>
    <w:r w:rsidR="00737AF7">
      <w:rPr>
        <w:sz w:val="20"/>
        <w:szCs w:val="20"/>
      </w:rPr>
      <w:fldChar w:fldCharType="separate"/>
    </w:r>
    <w:r w:rsidR="00346B2A">
      <w:rPr>
        <w:noProof/>
        <w:sz w:val="20"/>
        <w:szCs w:val="20"/>
      </w:rPr>
      <w:t>2</w:t>
    </w:r>
    <w:r w:rsidR="00737AF7">
      <w:rPr>
        <w:sz w:val="20"/>
        <w:szCs w:val="20"/>
      </w:rPr>
      <w:fldChar w:fldCharType="end"/>
    </w:r>
    <w:r>
      <w:rPr>
        <w:sz w:val="20"/>
        <w:szCs w:val="20"/>
      </w:rPr>
      <w:t xml:space="preserve"> από </w:t>
    </w:r>
    <w:r w:rsidR="00737AF7">
      <w:rPr>
        <w:sz w:val="20"/>
        <w:szCs w:val="20"/>
      </w:rPr>
      <w:fldChar w:fldCharType="begin"/>
    </w:r>
    <w:r>
      <w:rPr>
        <w:sz w:val="20"/>
        <w:szCs w:val="20"/>
      </w:rPr>
      <w:instrText xml:space="preserve"> NUMPAGES  </w:instrText>
    </w:r>
    <w:r w:rsidR="00737AF7">
      <w:rPr>
        <w:sz w:val="20"/>
        <w:szCs w:val="20"/>
      </w:rPr>
      <w:fldChar w:fldCharType="separate"/>
    </w:r>
    <w:r w:rsidR="00346B2A">
      <w:rPr>
        <w:noProof/>
        <w:sz w:val="20"/>
        <w:szCs w:val="20"/>
      </w:rPr>
      <w:t>2</w:t>
    </w:r>
    <w:r w:rsidR="00737AF7">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65C" w:rsidRDefault="0044465C" w:rsidP="0014093E">
      <w:r>
        <w:separator/>
      </w:r>
    </w:p>
  </w:footnote>
  <w:footnote w:type="continuationSeparator" w:id="1">
    <w:p w:rsidR="0044465C" w:rsidRDefault="0044465C"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1617"/>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5DD0"/>
    <w:rsid w:val="00036D98"/>
    <w:rsid w:val="000407DB"/>
    <w:rsid w:val="00044329"/>
    <w:rsid w:val="0004464E"/>
    <w:rsid w:val="00045AB6"/>
    <w:rsid w:val="00046FB3"/>
    <w:rsid w:val="00047F9D"/>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2F"/>
    <w:rsid w:val="00123395"/>
    <w:rsid w:val="00127949"/>
    <w:rsid w:val="00133613"/>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5E2"/>
    <w:rsid w:val="002A41B9"/>
    <w:rsid w:val="002A58D9"/>
    <w:rsid w:val="002B0A19"/>
    <w:rsid w:val="002B16A1"/>
    <w:rsid w:val="002B33F3"/>
    <w:rsid w:val="002B5317"/>
    <w:rsid w:val="002C0BC9"/>
    <w:rsid w:val="002C14F7"/>
    <w:rsid w:val="002C2A34"/>
    <w:rsid w:val="002C5F2D"/>
    <w:rsid w:val="002C6149"/>
    <w:rsid w:val="002C67E7"/>
    <w:rsid w:val="002C7306"/>
    <w:rsid w:val="002D02D1"/>
    <w:rsid w:val="002D18B7"/>
    <w:rsid w:val="002D4D31"/>
    <w:rsid w:val="002D4F33"/>
    <w:rsid w:val="002D58BA"/>
    <w:rsid w:val="002D72FA"/>
    <w:rsid w:val="002D7321"/>
    <w:rsid w:val="002D7916"/>
    <w:rsid w:val="002E076B"/>
    <w:rsid w:val="002E1795"/>
    <w:rsid w:val="002E17F8"/>
    <w:rsid w:val="002E322E"/>
    <w:rsid w:val="002E7153"/>
    <w:rsid w:val="002F0DDC"/>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6B2A"/>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14E"/>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367"/>
    <w:rsid w:val="003A52B0"/>
    <w:rsid w:val="003A556C"/>
    <w:rsid w:val="003A6E9C"/>
    <w:rsid w:val="003A7803"/>
    <w:rsid w:val="003B104B"/>
    <w:rsid w:val="003B1436"/>
    <w:rsid w:val="003B2695"/>
    <w:rsid w:val="003B427C"/>
    <w:rsid w:val="003B4A3A"/>
    <w:rsid w:val="003C0C89"/>
    <w:rsid w:val="003C2372"/>
    <w:rsid w:val="003C3E93"/>
    <w:rsid w:val="003C442D"/>
    <w:rsid w:val="003C457E"/>
    <w:rsid w:val="003C4C0E"/>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4465C"/>
    <w:rsid w:val="00446328"/>
    <w:rsid w:val="00453712"/>
    <w:rsid w:val="00453D91"/>
    <w:rsid w:val="00455CE5"/>
    <w:rsid w:val="004564E9"/>
    <w:rsid w:val="0045757E"/>
    <w:rsid w:val="0046078D"/>
    <w:rsid w:val="00460A75"/>
    <w:rsid w:val="00461304"/>
    <w:rsid w:val="00462BB7"/>
    <w:rsid w:val="00463474"/>
    <w:rsid w:val="00463947"/>
    <w:rsid w:val="00465F1F"/>
    <w:rsid w:val="00466749"/>
    <w:rsid w:val="00471220"/>
    <w:rsid w:val="004724DC"/>
    <w:rsid w:val="00472689"/>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4DF1"/>
    <w:rsid w:val="004A515F"/>
    <w:rsid w:val="004A5E8C"/>
    <w:rsid w:val="004A61D4"/>
    <w:rsid w:val="004A6A16"/>
    <w:rsid w:val="004A7929"/>
    <w:rsid w:val="004B004F"/>
    <w:rsid w:val="004B0A9E"/>
    <w:rsid w:val="004B143E"/>
    <w:rsid w:val="004B1483"/>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4BA5"/>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2104"/>
    <w:rsid w:val="005258F4"/>
    <w:rsid w:val="00526CB9"/>
    <w:rsid w:val="00532A5E"/>
    <w:rsid w:val="00534FD9"/>
    <w:rsid w:val="00535051"/>
    <w:rsid w:val="00535170"/>
    <w:rsid w:val="005352F2"/>
    <w:rsid w:val="0053614C"/>
    <w:rsid w:val="00536585"/>
    <w:rsid w:val="00536FD0"/>
    <w:rsid w:val="00540B1D"/>
    <w:rsid w:val="00540C59"/>
    <w:rsid w:val="0054288D"/>
    <w:rsid w:val="0054316B"/>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2F96"/>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AF7"/>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57DF"/>
    <w:rsid w:val="00855B76"/>
    <w:rsid w:val="00855FA0"/>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7BF"/>
    <w:rsid w:val="008A20B6"/>
    <w:rsid w:val="008A4B78"/>
    <w:rsid w:val="008A56F4"/>
    <w:rsid w:val="008A58DD"/>
    <w:rsid w:val="008A5B9B"/>
    <w:rsid w:val="008A732E"/>
    <w:rsid w:val="008A7981"/>
    <w:rsid w:val="008A7E09"/>
    <w:rsid w:val="008B0498"/>
    <w:rsid w:val="008B1B54"/>
    <w:rsid w:val="008B3616"/>
    <w:rsid w:val="008B3C86"/>
    <w:rsid w:val="008B3D03"/>
    <w:rsid w:val="008B47A3"/>
    <w:rsid w:val="008B574B"/>
    <w:rsid w:val="008C4CB5"/>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7059"/>
    <w:rsid w:val="00937A92"/>
    <w:rsid w:val="00940278"/>
    <w:rsid w:val="00941119"/>
    <w:rsid w:val="00941C0F"/>
    <w:rsid w:val="00943690"/>
    <w:rsid w:val="00943CAA"/>
    <w:rsid w:val="00944491"/>
    <w:rsid w:val="009459E4"/>
    <w:rsid w:val="00946BB2"/>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36A"/>
    <w:rsid w:val="00A1381E"/>
    <w:rsid w:val="00A13A2A"/>
    <w:rsid w:val="00A15E85"/>
    <w:rsid w:val="00A16538"/>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42A34"/>
    <w:rsid w:val="00A547BD"/>
    <w:rsid w:val="00A5501D"/>
    <w:rsid w:val="00A55CB8"/>
    <w:rsid w:val="00A57153"/>
    <w:rsid w:val="00A6041D"/>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8DB"/>
    <w:rsid w:val="00B0663B"/>
    <w:rsid w:val="00B06ADB"/>
    <w:rsid w:val="00B07224"/>
    <w:rsid w:val="00B07872"/>
    <w:rsid w:val="00B1083E"/>
    <w:rsid w:val="00B12DE8"/>
    <w:rsid w:val="00B134FD"/>
    <w:rsid w:val="00B13680"/>
    <w:rsid w:val="00B13724"/>
    <w:rsid w:val="00B13E02"/>
    <w:rsid w:val="00B15749"/>
    <w:rsid w:val="00B15FD6"/>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47165"/>
    <w:rsid w:val="00B537BB"/>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4621"/>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0232"/>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21AD"/>
    <w:rsid w:val="00C234CE"/>
    <w:rsid w:val="00C26710"/>
    <w:rsid w:val="00C26D0E"/>
    <w:rsid w:val="00C26DB6"/>
    <w:rsid w:val="00C27729"/>
    <w:rsid w:val="00C27F9A"/>
    <w:rsid w:val="00C32140"/>
    <w:rsid w:val="00C3352D"/>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3196"/>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654"/>
    <w:rsid w:val="00E37778"/>
    <w:rsid w:val="00E41008"/>
    <w:rsid w:val="00E41036"/>
    <w:rsid w:val="00E4164F"/>
    <w:rsid w:val="00E41F1B"/>
    <w:rsid w:val="00E42FC7"/>
    <w:rsid w:val="00E432B8"/>
    <w:rsid w:val="00E4385F"/>
    <w:rsid w:val="00E469AC"/>
    <w:rsid w:val="00E47142"/>
    <w:rsid w:val="00E47EA0"/>
    <w:rsid w:val="00E537AD"/>
    <w:rsid w:val="00E5386B"/>
    <w:rsid w:val="00E5407A"/>
    <w:rsid w:val="00E55CD0"/>
    <w:rsid w:val="00E55EBE"/>
    <w:rsid w:val="00E60BDD"/>
    <w:rsid w:val="00E61868"/>
    <w:rsid w:val="00E6350E"/>
    <w:rsid w:val="00E64F37"/>
    <w:rsid w:val="00E65E5B"/>
    <w:rsid w:val="00E65ECE"/>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3CEC"/>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D7B"/>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D3E1-5477-490D-AFA9-D2B6CCE2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2021-01-07T10:16:00Z</cp:lastPrinted>
  <dcterms:created xsi:type="dcterms:W3CDTF">2021-01-07T11:38:00Z</dcterms:created>
  <dcterms:modified xsi:type="dcterms:W3CDTF">2021-01-07T11:38:00Z</dcterms:modified>
</cp:coreProperties>
</file>