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1355412"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B15FD6">
        <w:tc>
          <w:tcPr>
            <w:tcW w:w="1107" w:type="dxa"/>
            <w:hideMark/>
          </w:tcPr>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p>
        </w:tc>
        <w:tc>
          <w:tcPr>
            <w:tcW w:w="5999" w:type="dxa"/>
            <w:hideMark/>
          </w:tcPr>
          <w:p w:rsidR="001F7E1F" w:rsidRPr="00F16EB2" w:rsidRDefault="001F7E1F" w:rsidP="00495804">
            <w:pPr>
              <w:rPr>
                <w:sz w:val="12"/>
              </w:rPr>
            </w:pPr>
          </w:p>
        </w:tc>
      </w:tr>
      <w:tr w:rsidR="001F7E1F" w:rsidRPr="00A27916" w:rsidTr="00B15FD6">
        <w:tc>
          <w:tcPr>
            <w:tcW w:w="1107" w:type="dxa"/>
            <w:hideMark/>
          </w:tcPr>
          <w:p w:rsidR="001F7E1F" w:rsidRDefault="001F7E1F" w:rsidP="00495804">
            <w:pPr>
              <w:jc w:val="right"/>
              <w:rPr>
                <w:b/>
                <w:bCs/>
              </w:rPr>
            </w:pPr>
          </w:p>
        </w:tc>
        <w:tc>
          <w:tcPr>
            <w:tcW w:w="407" w:type="dxa"/>
            <w:hideMark/>
          </w:tcPr>
          <w:p w:rsidR="001F7E1F" w:rsidRPr="006960A0" w:rsidRDefault="001F7E1F" w:rsidP="00495804">
            <w:pPr>
              <w:jc w:val="both"/>
              <w:rPr>
                <w:bCs/>
              </w:rPr>
            </w:pPr>
          </w:p>
        </w:tc>
        <w:tc>
          <w:tcPr>
            <w:tcW w:w="5999" w:type="dxa"/>
            <w:hideMark/>
          </w:tcPr>
          <w:p w:rsidR="0097619C" w:rsidRPr="008D3360" w:rsidRDefault="0097619C" w:rsidP="00D97BFD">
            <w:pPr>
              <w:rPr>
                <w:b/>
              </w:rPr>
            </w:pPr>
          </w:p>
        </w:tc>
      </w:tr>
      <w:tr w:rsidR="00236C82" w:rsidRPr="00A27916" w:rsidTr="00B15FD6">
        <w:tc>
          <w:tcPr>
            <w:tcW w:w="1107" w:type="dxa"/>
            <w:hideMark/>
          </w:tcPr>
          <w:p w:rsidR="00236C82" w:rsidRDefault="00236C82" w:rsidP="0066141C">
            <w:pPr>
              <w:jc w:val="right"/>
              <w:rPr>
                <w:b/>
                <w:bCs/>
              </w:rPr>
            </w:pPr>
          </w:p>
        </w:tc>
        <w:tc>
          <w:tcPr>
            <w:tcW w:w="407" w:type="dxa"/>
            <w:hideMark/>
          </w:tcPr>
          <w:p w:rsidR="00236C82" w:rsidRDefault="00236C82" w:rsidP="00782E71">
            <w:pPr>
              <w:jc w:val="both"/>
              <w:rPr>
                <w:bCs/>
              </w:rPr>
            </w:pPr>
          </w:p>
        </w:tc>
        <w:tc>
          <w:tcPr>
            <w:tcW w:w="5999" w:type="dxa"/>
          </w:tcPr>
          <w:p w:rsidR="00236C82" w:rsidRDefault="00236C82" w:rsidP="00782E71">
            <w:pPr>
              <w:jc w:val="both"/>
              <w:rPr>
                <w:bCs/>
              </w:rPr>
            </w:pPr>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8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2"/>
      </w:tblGrid>
      <w:tr w:rsidR="00273E08" w:rsidRPr="00481976" w:rsidTr="00B15FD6">
        <w:tc>
          <w:tcPr>
            <w:tcW w:w="9852" w:type="dxa"/>
            <w:tcBorders>
              <w:top w:val="nil"/>
              <w:left w:val="nil"/>
              <w:bottom w:val="nil"/>
              <w:right w:val="nil"/>
            </w:tcBorders>
            <w:hideMark/>
          </w:tcPr>
          <w:p w:rsidR="00640264" w:rsidRDefault="00273E08" w:rsidP="00251444">
            <w:pPr>
              <w:jc w:val="both"/>
              <w:rPr>
                <w:b/>
                <w:bCs/>
              </w:rPr>
            </w:pPr>
            <w:r w:rsidRPr="00481976">
              <w:rPr>
                <w:b/>
                <w:bCs/>
              </w:rPr>
              <w:t>ΘΕΜΑ:</w:t>
            </w:r>
            <w:r w:rsidR="00476934">
              <w:rPr>
                <w:b/>
                <w:bCs/>
              </w:rPr>
              <w:t xml:space="preserve">  «Ινστιτούτο Οικονομικών Ε</w:t>
            </w:r>
            <w:r w:rsidR="00E37654">
              <w:rPr>
                <w:b/>
                <w:bCs/>
              </w:rPr>
              <w:t>ρευνών – Χειρότερη η κατάσταση στην γερμανική αυτοκινητοβιομηχανία</w:t>
            </w:r>
            <w:r w:rsidR="00640264" w:rsidRPr="00481976">
              <w:rPr>
                <w:b/>
                <w:bCs/>
              </w:rPr>
              <w:t>»</w:t>
            </w:r>
          </w:p>
          <w:p w:rsidR="00476934" w:rsidRDefault="00476934" w:rsidP="00251444">
            <w:pPr>
              <w:jc w:val="both"/>
              <w:rPr>
                <w:b/>
                <w:bCs/>
              </w:rPr>
            </w:pPr>
          </w:p>
          <w:p w:rsidR="00AF33AD" w:rsidRDefault="008C4CB5" w:rsidP="00251444">
            <w:pPr>
              <w:jc w:val="both"/>
              <w:rPr>
                <w:bCs/>
              </w:rPr>
            </w:pPr>
            <w:r>
              <w:rPr>
                <w:bCs/>
              </w:rPr>
              <w:t>Σύμφωνα με πρόσφατα στοιχεία</w:t>
            </w:r>
            <w:r w:rsidR="00CC3196">
              <w:rPr>
                <w:bCs/>
              </w:rPr>
              <w:t xml:space="preserve"> </w:t>
            </w:r>
            <w:r>
              <w:rPr>
                <w:bCs/>
              </w:rPr>
              <w:t xml:space="preserve">επιχειρηματικής έρευνας του Ινστιτούτου Οικονομικών Ερευνών η κατάσταση που επικρατεί στην γερμανική αυτοκινητοβιομηχανία έχει παρουσιάσει </w:t>
            </w:r>
            <w:r w:rsidR="00B47165">
              <w:rPr>
                <w:bCs/>
              </w:rPr>
              <w:t xml:space="preserve">σχετική επιδείνωση η οποία πλήττει </w:t>
            </w:r>
            <w:r>
              <w:rPr>
                <w:bCs/>
              </w:rPr>
              <w:t>τόσο την παραγωγή και τις νέες παραγγελίες όσο και</w:t>
            </w:r>
            <w:r w:rsidR="00B47165">
              <w:rPr>
                <w:bCs/>
              </w:rPr>
              <w:t xml:space="preserve"> </w:t>
            </w:r>
            <w:r>
              <w:rPr>
                <w:bCs/>
              </w:rPr>
              <w:t xml:space="preserve">τους προμηθευτές. </w:t>
            </w:r>
          </w:p>
          <w:p w:rsidR="008C4CB5" w:rsidRDefault="008C4CB5" w:rsidP="00251444">
            <w:pPr>
              <w:jc w:val="both"/>
              <w:rPr>
                <w:bCs/>
              </w:rPr>
            </w:pPr>
          </w:p>
          <w:p w:rsidR="008C4CB5" w:rsidRDefault="008C4CB5" w:rsidP="00251444">
            <w:pPr>
              <w:jc w:val="both"/>
              <w:rPr>
                <w:bCs/>
              </w:rPr>
            </w:pPr>
            <w:r>
              <w:rPr>
                <w:bCs/>
              </w:rPr>
              <w:t>Τον περασμένο Δεκέμβριο οι εκτιμήσεις τους για την τρέχουσα κατάσταση μειώθηκε κατά -</w:t>
            </w:r>
            <w:r w:rsidR="00CC3196">
              <w:rPr>
                <w:bCs/>
              </w:rPr>
              <w:t xml:space="preserve">5,4 μονάδες </w:t>
            </w:r>
            <w:r>
              <w:rPr>
                <w:bCs/>
              </w:rPr>
              <w:t xml:space="preserve">έναντι </w:t>
            </w:r>
            <w:r w:rsidRPr="008C4CB5">
              <w:rPr>
                <w:bCs/>
              </w:rPr>
              <w:t>+</w:t>
            </w:r>
            <w:r w:rsidR="00CC3196">
              <w:rPr>
                <w:bCs/>
              </w:rPr>
              <w:t xml:space="preserve">5,0 μονάδες </w:t>
            </w:r>
            <w:r>
              <w:rPr>
                <w:bCs/>
              </w:rPr>
              <w:t>τον μήνα Νοέμβριο 2020. Ωστόσο οι περισσότερες των επιχειρήσεων αντιμετωπίζουν θετικά την όλη κατάσταση, όπως έχει μέχρι στιγμής τουλάχιστον διαμορφωθεί, αναμένοντας θετικές εξελίξεις για τους επόμενους έξη μήνες. Ο δείκτης προσδοκιών παρ</w:t>
            </w:r>
            <w:r w:rsidR="00CC3196">
              <w:rPr>
                <w:bCs/>
              </w:rPr>
              <w:t>ουσίασε αύξηση και από -</w:t>
            </w:r>
            <w:r>
              <w:rPr>
                <w:bCs/>
              </w:rPr>
              <w:t>1,6 βαθμούς τον Νοέμβριο έφθασε στους</w:t>
            </w:r>
            <w:r w:rsidR="00CC3196">
              <w:rPr>
                <w:bCs/>
              </w:rPr>
              <w:t xml:space="preserve"> </w:t>
            </w:r>
            <w:r w:rsidR="00CC3196" w:rsidRPr="00CC3196">
              <w:rPr>
                <w:bCs/>
              </w:rPr>
              <w:t>+</w:t>
            </w:r>
            <w:r>
              <w:rPr>
                <w:bCs/>
              </w:rPr>
              <w:t>10,1 βαθμούς τον Δεκέμβριο</w:t>
            </w:r>
            <w:r w:rsidR="004D4BA5">
              <w:rPr>
                <w:bCs/>
              </w:rPr>
              <w:t>.</w:t>
            </w:r>
          </w:p>
          <w:p w:rsidR="004D4BA5" w:rsidRDefault="004D4BA5" w:rsidP="00251444">
            <w:pPr>
              <w:jc w:val="both"/>
              <w:rPr>
                <w:bCs/>
              </w:rPr>
            </w:pPr>
          </w:p>
          <w:p w:rsidR="00702FCB" w:rsidRDefault="004D4BA5" w:rsidP="00251444">
            <w:pPr>
              <w:jc w:val="both"/>
              <w:rPr>
                <w:bCs/>
              </w:rPr>
            </w:pPr>
            <w:r>
              <w:rPr>
                <w:bCs/>
              </w:rPr>
              <w:t xml:space="preserve">Σύμφωνα με τον επικεφαλής του Ινστιτούτου για τις έρευνες της αγοράς και των διαφόρων κλάδων της γερμανικής οικονομίας. Δρ. </w:t>
            </w:r>
            <w:r>
              <w:rPr>
                <w:bCs/>
                <w:lang w:val="de-DE"/>
              </w:rPr>
              <w:t>Klaus</w:t>
            </w:r>
            <w:r w:rsidRPr="004D4BA5">
              <w:rPr>
                <w:bCs/>
              </w:rPr>
              <w:t xml:space="preserve"> </w:t>
            </w:r>
            <w:proofErr w:type="spellStart"/>
            <w:r>
              <w:rPr>
                <w:bCs/>
                <w:lang w:val="de-DE"/>
              </w:rPr>
              <w:t>Wohlrabe</w:t>
            </w:r>
            <w:proofErr w:type="spellEnd"/>
            <w:r w:rsidRPr="004D4BA5">
              <w:rPr>
                <w:bCs/>
              </w:rPr>
              <w:t xml:space="preserve">, </w:t>
            </w:r>
            <w:r>
              <w:rPr>
                <w:bCs/>
              </w:rPr>
              <w:t>οι αυτοκινητοβιομηχανίες και οι προμηθευτές τους αντιμετωπίζουν τις συνέπειες του δεύτερου, περισσότερο σκληρού, «</w:t>
            </w:r>
            <w:proofErr w:type="spellStart"/>
            <w:r>
              <w:rPr>
                <w:bCs/>
                <w:lang w:val="de-DE"/>
              </w:rPr>
              <w:t>lockdown</w:t>
            </w:r>
            <w:proofErr w:type="spellEnd"/>
            <w:r>
              <w:rPr>
                <w:bCs/>
              </w:rPr>
              <w:t>». Πιο συγκεκριμένα οι προσδοκίες για την παραγωγή σημείω</w:t>
            </w:r>
            <w:r w:rsidR="00B47165">
              <w:rPr>
                <w:bCs/>
              </w:rPr>
              <w:t>σαν απότομη πτώση και από -</w:t>
            </w:r>
            <w:r>
              <w:rPr>
                <w:bCs/>
              </w:rPr>
              <w:t xml:space="preserve">0,7 μονάδες </w:t>
            </w:r>
            <w:r w:rsidR="00B47165">
              <w:rPr>
                <w:bCs/>
              </w:rPr>
              <w:t xml:space="preserve">τον Νοέμβριο έπεσαν στις -20,6 μονάδες. Αντίστοιχα οι προσδοκίες για νέες εξαγωγές παρουσίασαν μία μικρή σχετικά συρρίκνωση και από -4,0 μονάδες τον Νοέμβριο περιορίσθηκαν στις -2,5 μονάδες τον Δεκέμβριο. </w:t>
            </w:r>
            <w:proofErr w:type="spellStart"/>
            <w:r w:rsidR="00B47165">
              <w:rPr>
                <w:bCs/>
              </w:rPr>
              <w:t>Οσον</w:t>
            </w:r>
            <w:proofErr w:type="spellEnd"/>
            <w:r w:rsidR="00B47165">
              <w:rPr>
                <w:bCs/>
              </w:rPr>
              <w:t xml:space="preserve"> αφορά τις θέσεις εργασίας και ιδιαίτερα εκείνες που πρόκειται να χαθούν, ο σχετικός δείκτης παρου</w:t>
            </w:r>
            <w:r w:rsidR="00B15FD6">
              <w:rPr>
                <w:bCs/>
              </w:rPr>
              <w:t xml:space="preserve">σιάζει σημαντική μείωση </w:t>
            </w:r>
            <w:r w:rsidR="00B47165">
              <w:rPr>
                <w:bCs/>
              </w:rPr>
              <w:t>φθάνοντας στις -35,2 μονάδες</w:t>
            </w:r>
            <w:r w:rsidR="00B15FD6">
              <w:rPr>
                <w:bCs/>
              </w:rPr>
              <w:t xml:space="preserve">. </w:t>
            </w:r>
          </w:p>
          <w:p w:rsidR="00B15FD6" w:rsidRDefault="00B15FD6" w:rsidP="00251444">
            <w:pPr>
              <w:jc w:val="both"/>
              <w:rPr>
                <w:bCs/>
              </w:rPr>
            </w:pPr>
          </w:p>
          <w:p w:rsidR="00B15FD6" w:rsidRDefault="00B15FD6" w:rsidP="00251444">
            <w:pPr>
              <w:jc w:val="both"/>
              <w:rPr>
                <w:bCs/>
              </w:rPr>
            </w:pPr>
            <w:r>
              <w:rPr>
                <w:bCs/>
              </w:rPr>
              <w:t>Αντίστοιχα ο δείκτης της ζήτησης μειώθηκε τον Δεκέμβριο σε 8,8 μονάδες από 13,3 μονάδες τον Νοέμβριο, ενώ οι νέες παραγγελίες παρουσίασαν, σε μηνιαία βάση, οριακή αύξηση και από 5,9 μονάδες τον Νοέμβριο αυξήθηκαν σε 7,1 μονάδες τον μήνα Δεκέμβριο. Τέλος τα αποθέματα τελικών προϊόντων είναι σε χαμηλότερα επίπεδα από τα συνηθισμένα για την συγκεκριμένη χρονική περίοδο, παρουσιάζοντας ελαφρά μείωση σε -5,7 μονάδες.</w:t>
            </w:r>
          </w:p>
          <w:p w:rsidR="00B15FD6" w:rsidRDefault="00B15FD6" w:rsidP="00251444">
            <w:pPr>
              <w:jc w:val="both"/>
              <w:rPr>
                <w:bCs/>
              </w:rPr>
            </w:pPr>
          </w:p>
          <w:p w:rsidR="00B15FD6" w:rsidRPr="00B15FD6" w:rsidRDefault="002C6149" w:rsidP="00251444">
            <w:pPr>
              <w:jc w:val="both"/>
              <w:rPr>
                <w:bCs/>
              </w:rPr>
            </w:pPr>
            <w:r>
              <w:rPr>
                <w:bCs/>
                <w:noProof/>
                <w:lang w:val="en-US" w:eastAsia="en-US"/>
              </w:rPr>
              <w:drawing>
                <wp:inline distT="0" distB="0" distL="0" distR="0">
                  <wp:extent cx="5697855" cy="2767330"/>
                  <wp:effectExtent l="19050" t="0" r="0" b="0"/>
                  <wp:docPr id="3" name="Picture 2" descr="automoto indust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moto industry .png"/>
                          <pic:cNvPicPr/>
                        </pic:nvPicPr>
                        <pic:blipFill>
                          <a:blip r:embed="rId10"/>
                          <a:stretch>
                            <a:fillRect/>
                          </a:stretch>
                        </pic:blipFill>
                        <pic:spPr>
                          <a:xfrm>
                            <a:off x="0" y="0"/>
                            <a:ext cx="5697855" cy="2767330"/>
                          </a:xfrm>
                          <a:prstGeom prst="rect">
                            <a:avLst/>
                          </a:prstGeom>
                        </pic:spPr>
                      </pic:pic>
                    </a:graphicData>
                  </a:graphic>
                </wp:inline>
              </w:drawing>
            </w: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5732E4" w:rsidRDefault="005732E4" w:rsidP="00251444">
            <w:pPr>
              <w:jc w:val="both"/>
              <w:rPr>
                <w:bCs/>
              </w:rPr>
            </w:pPr>
          </w:p>
          <w:p w:rsidR="00650051" w:rsidRPr="005732E4" w:rsidRDefault="00650051" w:rsidP="00251444">
            <w:pPr>
              <w:jc w:val="both"/>
              <w:rPr>
                <w:bCs/>
              </w:rPr>
            </w:pPr>
          </w:p>
          <w:p w:rsidR="009F6DA0" w:rsidRPr="00481976" w:rsidRDefault="009F6DA0" w:rsidP="009F6DA0">
            <w:pPr>
              <w:jc w:val="both"/>
              <w:rPr>
                <w:b/>
                <w:bCs/>
              </w:rPr>
            </w:pPr>
          </w:p>
          <w:p w:rsidR="00F152C7" w:rsidRPr="00481976" w:rsidRDefault="00F152C7" w:rsidP="00251444">
            <w:pPr>
              <w:jc w:val="both"/>
              <w:rPr>
                <w:b/>
                <w:bCs/>
              </w:rPr>
            </w:pPr>
          </w:p>
          <w:p w:rsidR="00273E08" w:rsidRPr="00481976" w:rsidRDefault="00273E08" w:rsidP="00251444">
            <w:pPr>
              <w:jc w:val="both"/>
              <w:rPr>
                <w:bCs/>
              </w:rPr>
            </w:pPr>
          </w:p>
          <w:p w:rsidR="00273E08" w:rsidRPr="00481976" w:rsidRDefault="00273E08" w:rsidP="00776CF9">
            <w:pPr>
              <w:jc w:val="both"/>
              <w:rPr>
                <w:bCs/>
              </w:rPr>
            </w:pPr>
            <w:r w:rsidRPr="00481976">
              <w:rPr>
                <w:bCs/>
                <w:i/>
              </w:rPr>
              <w:t xml:space="preserve">                                                                          </w:t>
            </w:r>
          </w:p>
          <w:p w:rsidR="00273E08" w:rsidRPr="00481976" w:rsidRDefault="00273E08" w:rsidP="00251444">
            <w:pPr>
              <w:jc w:val="both"/>
              <w:rPr>
                <w:bCs/>
                <w:i/>
              </w:rPr>
            </w:pPr>
            <w:r w:rsidRPr="00481976">
              <w:rPr>
                <w:bCs/>
                <w:i/>
              </w:rPr>
              <w:t xml:space="preserve">  </w:t>
            </w:r>
          </w:p>
          <w:p w:rsidR="00273E08" w:rsidRPr="00481976" w:rsidRDefault="00273E08" w:rsidP="00251444">
            <w:pPr>
              <w:jc w:val="both"/>
              <w:rPr>
                <w:bCs/>
                <w:i/>
              </w:rPr>
            </w:pPr>
          </w:p>
          <w:p w:rsidR="00273E08" w:rsidRPr="00481976" w:rsidRDefault="00273E08" w:rsidP="00251444">
            <w:pPr>
              <w:jc w:val="both"/>
              <w:rPr>
                <w:bCs/>
                <w:i/>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1"/>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82C" w:rsidRDefault="00B8082C" w:rsidP="0014093E">
      <w:r>
        <w:separator/>
      </w:r>
    </w:p>
  </w:endnote>
  <w:endnote w:type="continuationSeparator" w:id="1">
    <w:p w:rsidR="00B8082C" w:rsidRDefault="00B8082C"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2C" w:rsidRPr="00AF2A95" w:rsidRDefault="00B8082C" w:rsidP="0074232E">
    <w:pPr>
      <w:pStyle w:val="Footer"/>
      <w:jc w:val="right"/>
      <w:rPr>
        <w:b/>
        <w:sz w:val="2"/>
        <w:szCs w:val="2"/>
      </w:rPr>
    </w:pPr>
    <w:r>
      <w:rPr>
        <w:b/>
      </w:rPr>
      <w:t>_____________________________________________________________________</w:t>
    </w:r>
  </w:p>
  <w:p w:rsidR="00B8082C" w:rsidRDefault="00B8082C" w:rsidP="0074232E">
    <w:pPr>
      <w:pStyle w:val="Footer"/>
      <w:jc w:val="center"/>
      <w:rPr>
        <w:b/>
        <w:sz w:val="20"/>
        <w:szCs w:val="20"/>
      </w:rPr>
    </w:pPr>
    <w:r>
      <w:rPr>
        <w:b/>
        <w:sz w:val="20"/>
        <w:szCs w:val="20"/>
      </w:rPr>
      <w:t>ΑΔΙΑΒΑΘΜΗΤΟ - ΚΑΝΟΝΙΚΟ</w:t>
    </w:r>
  </w:p>
  <w:p w:rsidR="00B8082C" w:rsidRPr="00914D01" w:rsidRDefault="00B8082C"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EC3025">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EC3025">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82C" w:rsidRDefault="00B8082C" w:rsidP="0014093E">
      <w:r>
        <w:separator/>
      </w:r>
    </w:p>
  </w:footnote>
  <w:footnote w:type="continuationSeparator" w:id="1">
    <w:p w:rsidR="00B8082C" w:rsidRDefault="00B8082C"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07521"/>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5DD0"/>
    <w:rsid w:val="00036D98"/>
    <w:rsid w:val="000407DB"/>
    <w:rsid w:val="00044329"/>
    <w:rsid w:val="0004464E"/>
    <w:rsid w:val="00045AB6"/>
    <w:rsid w:val="00046FB3"/>
    <w:rsid w:val="00047F9D"/>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2F"/>
    <w:rsid w:val="00123395"/>
    <w:rsid w:val="00127949"/>
    <w:rsid w:val="00133613"/>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5E2"/>
    <w:rsid w:val="002A41B9"/>
    <w:rsid w:val="002A58D9"/>
    <w:rsid w:val="002B0A19"/>
    <w:rsid w:val="002B16A1"/>
    <w:rsid w:val="002B33F3"/>
    <w:rsid w:val="002B5317"/>
    <w:rsid w:val="002C0BC9"/>
    <w:rsid w:val="002C14F7"/>
    <w:rsid w:val="002C2A34"/>
    <w:rsid w:val="002C5F2D"/>
    <w:rsid w:val="002C6149"/>
    <w:rsid w:val="002C67E7"/>
    <w:rsid w:val="002C7306"/>
    <w:rsid w:val="002D02D1"/>
    <w:rsid w:val="002D18B7"/>
    <w:rsid w:val="002D4D31"/>
    <w:rsid w:val="002D4F33"/>
    <w:rsid w:val="002D58BA"/>
    <w:rsid w:val="002D72FA"/>
    <w:rsid w:val="002D7321"/>
    <w:rsid w:val="002D7916"/>
    <w:rsid w:val="002E076B"/>
    <w:rsid w:val="002E1795"/>
    <w:rsid w:val="002E17F8"/>
    <w:rsid w:val="002E322E"/>
    <w:rsid w:val="002E7153"/>
    <w:rsid w:val="002F0DDC"/>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14E"/>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367"/>
    <w:rsid w:val="003A52B0"/>
    <w:rsid w:val="003A556C"/>
    <w:rsid w:val="003A6E9C"/>
    <w:rsid w:val="003A7803"/>
    <w:rsid w:val="003B104B"/>
    <w:rsid w:val="003B1436"/>
    <w:rsid w:val="003B2695"/>
    <w:rsid w:val="003B427C"/>
    <w:rsid w:val="003B4A3A"/>
    <w:rsid w:val="003C0C89"/>
    <w:rsid w:val="003C2372"/>
    <w:rsid w:val="003C3E93"/>
    <w:rsid w:val="003C442D"/>
    <w:rsid w:val="003C457E"/>
    <w:rsid w:val="003C4C0E"/>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5F1F"/>
    <w:rsid w:val="00466749"/>
    <w:rsid w:val="00471220"/>
    <w:rsid w:val="004724DC"/>
    <w:rsid w:val="00472689"/>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4BA5"/>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288D"/>
    <w:rsid w:val="0054316B"/>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57DF"/>
    <w:rsid w:val="00855B76"/>
    <w:rsid w:val="00855FA0"/>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7BF"/>
    <w:rsid w:val="008A20B6"/>
    <w:rsid w:val="008A4B78"/>
    <w:rsid w:val="008A56F4"/>
    <w:rsid w:val="008A58DD"/>
    <w:rsid w:val="008A5B9B"/>
    <w:rsid w:val="008A732E"/>
    <w:rsid w:val="008A7981"/>
    <w:rsid w:val="008A7E09"/>
    <w:rsid w:val="008B0498"/>
    <w:rsid w:val="008B1B54"/>
    <w:rsid w:val="008B3616"/>
    <w:rsid w:val="008B3C86"/>
    <w:rsid w:val="008B3D03"/>
    <w:rsid w:val="008B47A3"/>
    <w:rsid w:val="008B574B"/>
    <w:rsid w:val="008C4CB5"/>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7059"/>
    <w:rsid w:val="00937A92"/>
    <w:rsid w:val="00940278"/>
    <w:rsid w:val="00941119"/>
    <w:rsid w:val="00941C0F"/>
    <w:rsid w:val="00943690"/>
    <w:rsid w:val="00943CAA"/>
    <w:rsid w:val="00944491"/>
    <w:rsid w:val="009459E4"/>
    <w:rsid w:val="00946BB2"/>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36A"/>
    <w:rsid w:val="00A1381E"/>
    <w:rsid w:val="00A13A2A"/>
    <w:rsid w:val="00A15E85"/>
    <w:rsid w:val="00A16538"/>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547BD"/>
    <w:rsid w:val="00A5501D"/>
    <w:rsid w:val="00A55CB8"/>
    <w:rsid w:val="00A57153"/>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8DB"/>
    <w:rsid w:val="00B0663B"/>
    <w:rsid w:val="00B06ADB"/>
    <w:rsid w:val="00B07224"/>
    <w:rsid w:val="00B07872"/>
    <w:rsid w:val="00B1083E"/>
    <w:rsid w:val="00B12DE8"/>
    <w:rsid w:val="00B134FD"/>
    <w:rsid w:val="00B13680"/>
    <w:rsid w:val="00B13724"/>
    <w:rsid w:val="00B13E02"/>
    <w:rsid w:val="00B15749"/>
    <w:rsid w:val="00B15FD6"/>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47165"/>
    <w:rsid w:val="00B537BB"/>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082C"/>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21AD"/>
    <w:rsid w:val="00C234CE"/>
    <w:rsid w:val="00C26710"/>
    <w:rsid w:val="00C26D0E"/>
    <w:rsid w:val="00C26DB6"/>
    <w:rsid w:val="00C27729"/>
    <w:rsid w:val="00C27F9A"/>
    <w:rsid w:val="00C32140"/>
    <w:rsid w:val="00C3352D"/>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3196"/>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654"/>
    <w:rsid w:val="00E37778"/>
    <w:rsid w:val="00E41008"/>
    <w:rsid w:val="00E41036"/>
    <w:rsid w:val="00E4164F"/>
    <w:rsid w:val="00E41F1B"/>
    <w:rsid w:val="00E42FC7"/>
    <w:rsid w:val="00E432B8"/>
    <w:rsid w:val="00E4385F"/>
    <w:rsid w:val="00E469AC"/>
    <w:rsid w:val="00E47142"/>
    <w:rsid w:val="00E47EA0"/>
    <w:rsid w:val="00E537AD"/>
    <w:rsid w:val="00E5386B"/>
    <w:rsid w:val="00E5407A"/>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D7B"/>
    <w:rsid w:val="00EB69F4"/>
    <w:rsid w:val="00EB6B97"/>
    <w:rsid w:val="00EC044F"/>
    <w:rsid w:val="00EC045A"/>
    <w:rsid w:val="00EC10A7"/>
    <w:rsid w:val="00EC2100"/>
    <w:rsid w:val="00EC23E0"/>
    <w:rsid w:val="00EC2704"/>
    <w:rsid w:val="00EC3025"/>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D141-FB35-4DF2-A1A0-498E7DDB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0</DocSecurity>
  <Lines>15</Lines>
  <Paragraphs>4</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2021-01-05T11:18:00Z</cp:lastPrinted>
  <dcterms:created xsi:type="dcterms:W3CDTF">2021-01-05T11:37:00Z</dcterms:created>
  <dcterms:modified xsi:type="dcterms:W3CDTF">2021-01-05T11:37:00Z</dcterms:modified>
</cp:coreProperties>
</file>