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7247885"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872EBC">
                    <w:rPr>
                      <w:rFonts w:asciiTheme="majorHAnsi" w:hAnsiTheme="majorHAnsi"/>
                      <w:lang w:val="en-GB"/>
                    </w:rPr>
                    <w:t xml:space="preserve">8 </w:t>
                  </w:r>
                  <w:r w:rsidR="00B84A9A">
                    <w:rPr>
                      <w:rFonts w:asciiTheme="majorHAnsi" w:hAnsiTheme="majorHAnsi"/>
                    </w:rPr>
                    <w:t xml:space="preserve">Ιουλίου </w:t>
                  </w:r>
                  <w:r w:rsidR="008F4923" w:rsidRPr="00610E20">
                    <w:rPr>
                      <w:rFonts w:asciiTheme="majorHAnsi" w:hAnsiTheme="majorHAnsi"/>
                    </w:rPr>
                    <w:t>2021</w:t>
                  </w:r>
                </w:p>
              </w:tc>
            </w:tr>
            <w:tr w:rsidR="00236C82" w:rsidRPr="00610E20" w:rsidTr="00782E71">
              <w:tc>
                <w:tcPr>
                  <w:tcW w:w="3827" w:type="dxa"/>
                </w:tcPr>
                <w:p w:rsidR="00236C82" w:rsidRPr="00BE0DA3" w:rsidRDefault="006960A0" w:rsidP="007C5CCB">
                  <w:pPr>
                    <w:rPr>
                      <w:rFonts w:asciiTheme="majorHAnsi" w:hAnsiTheme="majorHAnsi"/>
                      <w:lang w:val="de-DE"/>
                    </w:rPr>
                  </w:pPr>
                  <w:r w:rsidRPr="00610E20">
                    <w:rPr>
                      <w:rFonts w:asciiTheme="majorHAnsi" w:hAnsiTheme="majorHAnsi"/>
                    </w:rPr>
                    <w:t>Α.Π.:</w:t>
                  </w:r>
                  <w:r w:rsidR="00C84BA2" w:rsidRPr="00610E20">
                    <w:rPr>
                      <w:rFonts w:asciiTheme="majorHAnsi" w:hAnsiTheme="majorHAnsi"/>
                    </w:rPr>
                    <w:t xml:space="preserve"> </w:t>
                  </w:r>
                  <w:r w:rsidR="003717E3" w:rsidRPr="00610E20">
                    <w:rPr>
                      <w:rFonts w:asciiTheme="majorHAnsi" w:hAnsiTheme="majorHAnsi"/>
                      <w:lang w:val="de-DE"/>
                    </w:rPr>
                    <w:t xml:space="preserve"> </w:t>
                  </w:r>
                  <w:r w:rsidR="00F70F15">
                    <w:rPr>
                      <w:rFonts w:asciiTheme="majorHAnsi" w:hAnsiTheme="majorHAnsi"/>
                    </w:rPr>
                    <w:t>1564</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610E20" w:rsidRDefault="00E33F6B" w:rsidP="00E33F6B">
            <w:pPr>
              <w:pStyle w:val="ListParagraph"/>
              <w:numPr>
                <w:ilvl w:val="0"/>
                <w:numId w:val="32"/>
              </w:numPr>
              <w:ind w:left="321" w:hanging="283"/>
              <w:rPr>
                <w:rFonts w:asciiTheme="majorHAnsi" w:hAnsiTheme="majorHAnsi"/>
              </w:rPr>
            </w:pPr>
            <w:r w:rsidRPr="00610E20">
              <w:rPr>
                <w:rFonts w:asciiTheme="majorHAnsi" w:hAnsiTheme="majorHAnsi"/>
              </w:rPr>
              <w:t>Β</w:t>
            </w:r>
            <w:r w:rsidR="001F3AAE" w:rsidRPr="00610E20">
              <w:rPr>
                <w:rFonts w:asciiTheme="majorHAnsi" w:hAnsiTheme="majorHAnsi"/>
                <w:lang w:val="en-GB"/>
              </w:rPr>
              <w:t>3</w:t>
            </w:r>
            <w:r w:rsidR="00730445" w:rsidRPr="00610E20">
              <w:rPr>
                <w:rFonts w:asciiTheme="majorHAnsi" w:hAnsiTheme="majorHAnsi"/>
              </w:rPr>
              <w:t xml:space="preserve"> </w:t>
            </w:r>
            <w:r w:rsidR="00711052" w:rsidRPr="00610E20">
              <w:rPr>
                <w:rFonts w:asciiTheme="majorHAnsi" w:hAnsiTheme="majorHAnsi"/>
              </w:rPr>
              <w:t xml:space="preserve">Διεύθυνση </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1F3AAE" w:rsidRPr="00610E20">
              <w:rPr>
                <w:rFonts w:asciiTheme="majorHAnsi" w:hAnsiTheme="majorHAnsi"/>
                <w:lang w:val="en-GB"/>
              </w:rPr>
              <w:t xml:space="preserve">1 &amp; B2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057D91" w:rsidRPr="00610E20" w:rsidRDefault="00057D91" w:rsidP="001D50A2">
      <w:pPr>
        <w:jc w:val="both"/>
        <w:rPr>
          <w:rFonts w:asciiTheme="majorHAnsi" w:hAnsiTheme="majorHAnsi"/>
          <w:bCs/>
        </w:rPr>
      </w:pPr>
    </w:p>
    <w:p w:rsidR="008344B1" w:rsidRDefault="00940FB2" w:rsidP="001D50A2">
      <w:pPr>
        <w:jc w:val="both"/>
        <w:rPr>
          <w:rFonts w:asciiTheme="majorHAnsi" w:hAnsiTheme="majorHAnsi"/>
          <w:b/>
          <w:bCs/>
          <w:i/>
        </w:rPr>
      </w:pPr>
      <w:r w:rsidRPr="00610E20">
        <w:rPr>
          <w:rFonts w:asciiTheme="majorHAnsi" w:hAnsiTheme="majorHAnsi"/>
          <w:b/>
          <w:bCs/>
        </w:rPr>
        <w:t xml:space="preserve">ΘΕΜΑ: </w:t>
      </w:r>
      <w:r w:rsidR="006649F2" w:rsidRPr="00610E20">
        <w:rPr>
          <w:rFonts w:asciiTheme="majorHAnsi" w:hAnsiTheme="majorHAnsi"/>
          <w:b/>
          <w:bCs/>
        </w:rPr>
        <w:t>«</w:t>
      </w:r>
      <w:r w:rsidR="00872EBC">
        <w:rPr>
          <w:rFonts w:asciiTheme="majorHAnsi" w:hAnsiTheme="majorHAnsi"/>
          <w:b/>
          <w:bCs/>
        </w:rPr>
        <w:t>Ινστιτούτο Οικονομικών Ερευνών – Γερμανικές κατασκευαστικές επιχειρήσεις – Επιδείνωση των ελλείψεων σε υλικά και πρώτες ύλες</w:t>
      </w:r>
      <w:r w:rsidRPr="00610E20">
        <w:rPr>
          <w:rFonts w:asciiTheme="majorHAnsi" w:hAnsiTheme="majorHAnsi"/>
          <w:b/>
          <w:bCs/>
          <w:i/>
        </w:rPr>
        <w:t>»</w:t>
      </w:r>
    </w:p>
    <w:p w:rsidR="00B84A9A" w:rsidRDefault="00B84A9A" w:rsidP="001D50A2">
      <w:pPr>
        <w:jc w:val="both"/>
        <w:rPr>
          <w:rFonts w:asciiTheme="majorHAnsi" w:hAnsiTheme="majorHAnsi"/>
          <w:b/>
          <w:bCs/>
          <w:i/>
        </w:rPr>
      </w:pPr>
    </w:p>
    <w:p w:rsidR="00B84A9A" w:rsidRDefault="00872EBC" w:rsidP="001D50A2">
      <w:pPr>
        <w:jc w:val="both"/>
        <w:rPr>
          <w:rFonts w:asciiTheme="majorHAnsi" w:hAnsiTheme="majorHAnsi"/>
          <w:bCs/>
        </w:rPr>
      </w:pPr>
      <w:r>
        <w:rPr>
          <w:rFonts w:asciiTheme="majorHAnsi" w:hAnsiTheme="majorHAnsi"/>
          <w:bCs/>
        </w:rPr>
        <w:t>Σύμφωνα με στοιχεία που έδωσε στην δημοσιότητα το αρμόδιο Τμήμα Ερευνών της</w:t>
      </w:r>
      <w:r w:rsidR="00F70F15">
        <w:rPr>
          <w:rFonts w:asciiTheme="majorHAnsi" w:hAnsiTheme="majorHAnsi"/>
          <w:bCs/>
        </w:rPr>
        <w:t xml:space="preserve"> Αγοράς του Ινστιτούτου Οικονομικών Ερευνών, </w:t>
      </w:r>
      <w:r>
        <w:rPr>
          <w:rFonts w:asciiTheme="majorHAnsi" w:hAnsiTheme="majorHAnsi"/>
          <w:bCs/>
        </w:rPr>
        <w:t>οι γερμανικές επιχειρήσεις που δραστηριοποιούνται στον κατασκευαστικό – τεχνικό τομέα αντιμετωπίζουν αυξανόμενες δυσκολίες κυρίως λόγω της επιδείνωσης των ελλείψεων που παρατηρούνται σε διάφορα υλικά καθώς και σε πρώτες ύλες. Η κατάσταση επιδεινώνεται έτι περαιτέρω με τις συνεχιζόμενες αυξήσεις των τιμών για προμήθειες υλικών και πρώτων υλών.</w:t>
      </w:r>
    </w:p>
    <w:p w:rsidR="00872EBC" w:rsidRDefault="00872EBC" w:rsidP="001D50A2">
      <w:pPr>
        <w:jc w:val="both"/>
        <w:rPr>
          <w:rFonts w:asciiTheme="majorHAnsi" w:hAnsiTheme="majorHAnsi"/>
          <w:bCs/>
        </w:rPr>
      </w:pPr>
    </w:p>
    <w:p w:rsidR="00872EBC" w:rsidRDefault="00872EBC" w:rsidP="001D50A2">
      <w:pPr>
        <w:jc w:val="both"/>
        <w:rPr>
          <w:rFonts w:asciiTheme="majorHAnsi" w:hAnsiTheme="majorHAnsi"/>
          <w:bCs/>
        </w:rPr>
      </w:pPr>
      <w:r>
        <w:rPr>
          <w:rFonts w:asciiTheme="majorHAnsi" w:hAnsiTheme="majorHAnsi"/>
          <w:bCs/>
        </w:rPr>
        <w:t>Σύμφωνα με τα ίδια στοιχεία τον περασμένο Ιούνιο ποσοστό 95,2% των ερωτηθέντων</w:t>
      </w:r>
      <w:r w:rsidR="006160C1">
        <w:rPr>
          <w:rFonts w:asciiTheme="majorHAnsi" w:hAnsiTheme="majorHAnsi"/>
          <w:bCs/>
        </w:rPr>
        <w:t xml:space="preserve"> επιχειρήσεων </w:t>
      </w:r>
      <w:r>
        <w:rPr>
          <w:rFonts w:asciiTheme="majorHAnsi" w:hAnsiTheme="majorHAnsi"/>
          <w:bCs/>
        </w:rPr>
        <w:t xml:space="preserve">ανέφεραν ότι οι τιμές για προμήθειες πρώτων υλών και άλλων υλικών έχουν σημαντικά αυξηθεί σε σύγκριση προς τους τρείς προηγούμενους μήνες. Επιπλέον </w:t>
      </w:r>
      <w:r>
        <w:rPr>
          <w:rFonts w:asciiTheme="majorHAnsi" w:hAnsiTheme="majorHAnsi"/>
          <w:bCs/>
        </w:rPr>
        <w:lastRenderedPageBreak/>
        <w:t xml:space="preserve">στο τομέα της κατασκευής κτιρίων, ποσοστό 50,4% των επιχειρήσεων ανέφεραν ότι αναγκάσθηκαν να διακόψουν τις εργασίες τους λόγω σημαντικών καθυστερήσεων στις παραδόσεις υλικών. Τα αντίστοιχα ποσοστά ήταν σαφώς χαμηλότερα τους προηγούμενους μήνες και συγκεκριμένα 43,9% τον περασμένο </w:t>
      </w:r>
      <w:proofErr w:type="spellStart"/>
      <w:r>
        <w:rPr>
          <w:rFonts w:asciiTheme="majorHAnsi" w:hAnsiTheme="majorHAnsi"/>
          <w:bCs/>
        </w:rPr>
        <w:t>Μάϊο</w:t>
      </w:r>
      <w:proofErr w:type="spellEnd"/>
      <w:r>
        <w:rPr>
          <w:rFonts w:asciiTheme="majorHAnsi" w:hAnsiTheme="majorHAnsi"/>
          <w:bCs/>
        </w:rPr>
        <w:t xml:space="preserve"> και 23,9% τον Απρίλιο </w:t>
      </w:r>
      <w:proofErr w:type="spellStart"/>
      <w:r>
        <w:rPr>
          <w:rFonts w:asciiTheme="majorHAnsi" w:hAnsiTheme="majorHAnsi"/>
          <w:bCs/>
        </w:rPr>
        <w:t>τ.έ</w:t>
      </w:r>
      <w:proofErr w:type="spellEnd"/>
      <w:r>
        <w:rPr>
          <w:rFonts w:asciiTheme="majorHAnsi" w:hAnsiTheme="majorHAnsi"/>
          <w:bCs/>
        </w:rPr>
        <w:t xml:space="preserve">. </w:t>
      </w:r>
    </w:p>
    <w:p w:rsidR="00872EBC" w:rsidRDefault="00872EBC" w:rsidP="001D50A2">
      <w:pPr>
        <w:jc w:val="both"/>
        <w:rPr>
          <w:rFonts w:asciiTheme="majorHAnsi" w:hAnsiTheme="majorHAnsi"/>
          <w:bCs/>
        </w:rPr>
      </w:pPr>
    </w:p>
    <w:p w:rsidR="006160C1" w:rsidRDefault="00872EBC" w:rsidP="001D50A2">
      <w:pPr>
        <w:jc w:val="both"/>
        <w:rPr>
          <w:rFonts w:asciiTheme="majorHAnsi" w:hAnsiTheme="majorHAnsi"/>
          <w:bCs/>
        </w:rPr>
      </w:pPr>
      <w:r>
        <w:rPr>
          <w:rFonts w:asciiTheme="majorHAnsi" w:hAnsiTheme="majorHAnsi"/>
          <w:bCs/>
        </w:rPr>
        <w:t>Στους πολιτικούς μηχανικούς αρκετά υψηλό ποσοστό 40,5% των ερωτηθέντων ανέφεραν επίσης προβλήματα στις παραδόσεις πρώτω</w:t>
      </w:r>
      <w:r w:rsidR="006160C1">
        <w:rPr>
          <w:rFonts w:asciiTheme="majorHAnsi" w:hAnsiTheme="majorHAnsi"/>
          <w:bCs/>
        </w:rPr>
        <w:t xml:space="preserve">ν υλών για το μήνα Ιούνιο </w:t>
      </w:r>
      <w:proofErr w:type="spellStart"/>
      <w:r w:rsidR="006160C1">
        <w:rPr>
          <w:rFonts w:asciiTheme="majorHAnsi" w:hAnsiTheme="majorHAnsi"/>
          <w:bCs/>
        </w:rPr>
        <w:t>τ.έ</w:t>
      </w:r>
      <w:proofErr w:type="spellEnd"/>
      <w:r w:rsidR="006160C1">
        <w:rPr>
          <w:rFonts w:asciiTheme="majorHAnsi" w:hAnsiTheme="majorHAnsi"/>
          <w:bCs/>
        </w:rPr>
        <w:t xml:space="preserve">., ποσοστό αρκετά υψηλότερο συγκριτικά προς τον προηγούμενο μήνα </w:t>
      </w:r>
      <w:proofErr w:type="spellStart"/>
      <w:r w:rsidR="006160C1">
        <w:rPr>
          <w:rFonts w:asciiTheme="majorHAnsi" w:hAnsiTheme="majorHAnsi"/>
          <w:bCs/>
        </w:rPr>
        <w:t>Μάϊο</w:t>
      </w:r>
      <w:proofErr w:type="spellEnd"/>
      <w:r w:rsidR="006160C1">
        <w:rPr>
          <w:rFonts w:asciiTheme="majorHAnsi" w:hAnsiTheme="majorHAnsi"/>
          <w:bCs/>
        </w:rPr>
        <w:t>, όπου το αντίστοιχο ποσοστό έφθασε στο 33,5%. Μέχρι τον περασμένο Μάρτιο δεν είχαν καταγραφεί σχεδόν καθόλου προβλήματα στον τομέα του εφοδιασμού, με το ποσοστό των διαμαρτυρόμενων επιχειρήσεων να αγγίζει μόλις το 2,9%.</w:t>
      </w:r>
    </w:p>
    <w:p w:rsidR="006160C1" w:rsidRDefault="006160C1" w:rsidP="001D50A2">
      <w:pPr>
        <w:jc w:val="both"/>
        <w:rPr>
          <w:rFonts w:asciiTheme="majorHAnsi" w:hAnsiTheme="majorHAnsi"/>
          <w:bCs/>
        </w:rPr>
      </w:pPr>
    </w:p>
    <w:p w:rsidR="006160C1" w:rsidRDefault="006160C1" w:rsidP="001D50A2">
      <w:pPr>
        <w:jc w:val="both"/>
        <w:rPr>
          <w:rFonts w:asciiTheme="majorHAnsi" w:hAnsiTheme="majorHAnsi"/>
          <w:bCs/>
        </w:rPr>
      </w:pPr>
      <w:r>
        <w:rPr>
          <w:rFonts w:asciiTheme="majorHAnsi" w:hAnsiTheme="majorHAnsi"/>
          <w:bCs/>
        </w:rPr>
        <w:t>Σημαντικά ζητήματα για τις γερμανικές επιχειρήσεις του συγκεκριμένου κλάδου είναι και οι ελλείψεις σε διάφορα άλλα απαραίτητα υλικά, όπως για παράδειγμα η ξυλεία. Ακόμη σημαντικές ελλείψεις παρατηρούνται και σε άλλες κατηγορίες πρώτων υλών, όπως τα οικοδομικά υλικά με βάση το πετρέλαιο, σε συνθετικά μονωτικά υλικά, σωλήνες για συστήματα αποχέτευσης και σε άλλα πλαστικά εξαρτήματα και ανταλλακτικά. Τέλος, προβλήματα καταγράφονται τόσο στις παραδόσεις χάλυβα και προϊόντων σιδήρου όσο και στις αυξήσεις των τιμών για τα συγκεκριμένα προϊόντα.</w:t>
      </w:r>
    </w:p>
    <w:p w:rsidR="00872EBC" w:rsidRDefault="00872EBC" w:rsidP="001D50A2">
      <w:pPr>
        <w:jc w:val="both"/>
        <w:rPr>
          <w:rFonts w:asciiTheme="majorHAnsi" w:hAnsiTheme="majorHAnsi"/>
          <w:bCs/>
        </w:rPr>
      </w:pPr>
    </w:p>
    <w:p w:rsidR="00872EBC" w:rsidRDefault="00872EBC" w:rsidP="001D50A2">
      <w:pPr>
        <w:jc w:val="both"/>
        <w:rPr>
          <w:rFonts w:asciiTheme="majorHAnsi" w:hAnsiTheme="majorHAnsi"/>
          <w:bCs/>
        </w:rPr>
      </w:pPr>
    </w:p>
    <w:p w:rsidR="00872EBC" w:rsidRDefault="00872EBC" w:rsidP="001D50A2">
      <w:pPr>
        <w:jc w:val="both"/>
        <w:rPr>
          <w:rFonts w:asciiTheme="majorHAnsi" w:hAnsiTheme="majorHAnsi"/>
          <w:bCs/>
        </w:rPr>
      </w:pPr>
    </w:p>
    <w:p w:rsidR="00872EBC" w:rsidRDefault="00872EBC" w:rsidP="001D50A2">
      <w:pPr>
        <w:jc w:val="both"/>
        <w:rPr>
          <w:rFonts w:asciiTheme="majorHAnsi" w:hAnsiTheme="majorHAnsi"/>
          <w:bCs/>
        </w:rPr>
      </w:pPr>
    </w:p>
    <w:p w:rsidR="00872EBC" w:rsidRDefault="00872EBC" w:rsidP="001D50A2">
      <w:pPr>
        <w:jc w:val="both"/>
        <w:rPr>
          <w:rFonts w:asciiTheme="majorHAnsi" w:hAnsiTheme="majorHAnsi"/>
          <w:bCs/>
        </w:rPr>
      </w:pPr>
    </w:p>
    <w:p w:rsidR="00B84A9A" w:rsidRDefault="00B84A9A" w:rsidP="001D50A2">
      <w:pPr>
        <w:jc w:val="both"/>
        <w:rPr>
          <w:rFonts w:asciiTheme="majorHAnsi" w:hAnsiTheme="majorHAnsi"/>
          <w:bCs/>
        </w:rPr>
      </w:pPr>
    </w:p>
    <w:p w:rsidR="00B84A9A" w:rsidRDefault="00B84A9A" w:rsidP="001D50A2">
      <w:pPr>
        <w:jc w:val="both"/>
        <w:rPr>
          <w:rFonts w:asciiTheme="majorHAnsi" w:hAnsiTheme="majorHAnsi"/>
          <w:bCs/>
        </w:rPr>
      </w:pPr>
    </w:p>
    <w:p w:rsidR="00B84A9A" w:rsidRDefault="00B84A9A" w:rsidP="001D50A2">
      <w:pPr>
        <w:jc w:val="both"/>
        <w:rPr>
          <w:rFonts w:asciiTheme="majorHAnsi" w:hAnsiTheme="majorHAnsi"/>
          <w:bCs/>
        </w:rPr>
      </w:pP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p>
    <w:p w:rsidR="00B84A9A" w:rsidRDefault="00B84A9A" w:rsidP="001D50A2">
      <w:pPr>
        <w:jc w:val="both"/>
        <w:rPr>
          <w:rFonts w:asciiTheme="majorHAnsi" w:hAnsiTheme="majorHAnsi"/>
          <w:bCs/>
        </w:rPr>
      </w:pPr>
    </w:p>
    <w:p w:rsidR="00AF258E" w:rsidRDefault="00074A04" w:rsidP="001D50A2">
      <w:pPr>
        <w:jc w:val="both"/>
        <w:rPr>
          <w:rFonts w:asciiTheme="majorHAnsi" w:hAnsiTheme="majorHAnsi"/>
          <w:bCs/>
        </w:rPr>
      </w:pPr>
      <w:r>
        <w:rPr>
          <w:rFonts w:asciiTheme="majorHAnsi" w:hAnsiTheme="majorHAnsi"/>
          <w:bCs/>
        </w:rPr>
        <w:t xml:space="preserve">            </w:t>
      </w:r>
      <w:r>
        <w:rPr>
          <w:rFonts w:asciiTheme="majorHAnsi" w:hAnsiTheme="majorHAnsi"/>
          <w:bCs/>
        </w:rPr>
        <w:tab/>
      </w:r>
      <w:r>
        <w:rPr>
          <w:rFonts w:asciiTheme="majorHAnsi" w:hAnsiTheme="majorHAnsi"/>
          <w:bCs/>
        </w:rPr>
        <w:tab/>
      </w:r>
      <w:r w:rsidR="00AF258E">
        <w:rPr>
          <w:rFonts w:asciiTheme="majorHAnsi" w:hAnsiTheme="majorHAnsi"/>
          <w:bCs/>
        </w:rPr>
        <w:tab/>
      </w:r>
      <w:r w:rsidR="00AF258E">
        <w:rPr>
          <w:rFonts w:asciiTheme="majorHAnsi" w:hAnsiTheme="majorHAnsi"/>
          <w:bCs/>
        </w:rPr>
        <w:tab/>
      </w:r>
      <w:r w:rsidR="00AF258E">
        <w:rPr>
          <w:rFonts w:asciiTheme="majorHAnsi" w:hAnsiTheme="majorHAnsi"/>
          <w:bCs/>
        </w:rPr>
        <w:tab/>
        <w:t xml:space="preserve">          Θεόδωρος </w:t>
      </w:r>
      <w:proofErr w:type="spellStart"/>
      <w:r w:rsidR="00AF258E">
        <w:rPr>
          <w:rFonts w:asciiTheme="majorHAnsi" w:hAnsiTheme="majorHAnsi"/>
          <w:bCs/>
        </w:rPr>
        <w:t>Ξυπολιάς</w:t>
      </w:r>
      <w:proofErr w:type="spellEnd"/>
    </w:p>
    <w:p w:rsidR="00AF258E"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Σύμβουλος Ο.Ε.Υ. Α΄ </w:t>
      </w:r>
    </w:p>
    <w:p w:rsidR="00610E20" w:rsidRPr="00610E20" w:rsidRDefault="00610E20" w:rsidP="00515787">
      <w:pPr>
        <w:jc w:val="both"/>
        <w:rPr>
          <w:rFonts w:asciiTheme="majorHAnsi" w:hAnsiTheme="majorHAnsi"/>
          <w:bCs/>
        </w:rPr>
      </w:pPr>
      <w:r>
        <w:rPr>
          <w:rFonts w:asciiTheme="majorHAnsi" w:hAnsiTheme="majorHAnsi"/>
          <w:bCs/>
        </w:rPr>
        <w:t xml:space="preserve">                                                                              </w:t>
      </w:r>
    </w:p>
    <w:p w:rsidR="00DC6CD6" w:rsidRPr="00610E20" w:rsidRDefault="00DC6CD6"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Cs/>
        </w:rPr>
      </w:pPr>
    </w:p>
    <w:sectPr w:rsidR="00610E20" w:rsidRPr="00610E20"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0C1" w:rsidRDefault="006160C1" w:rsidP="0014093E">
      <w:r>
        <w:separator/>
      </w:r>
    </w:p>
  </w:endnote>
  <w:endnote w:type="continuationSeparator" w:id="1">
    <w:p w:rsidR="006160C1" w:rsidRDefault="006160C1"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0C1" w:rsidRPr="00AF2A95" w:rsidRDefault="006160C1" w:rsidP="0074232E">
    <w:pPr>
      <w:pStyle w:val="Footer"/>
      <w:jc w:val="right"/>
      <w:rPr>
        <w:b/>
        <w:sz w:val="2"/>
        <w:szCs w:val="2"/>
      </w:rPr>
    </w:pPr>
    <w:r>
      <w:rPr>
        <w:b/>
      </w:rPr>
      <w:t>_____________________________________________________________________</w:t>
    </w:r>
  </w:p>
  <w:p w:rsidR="006160C1" w:rsidRDefault="006160C1" w:rsidP="0074232E">
    <w:pPr>
      <w:pStyle w:val="Footer"/>
      <w:jc w:val="center"/>
      <w:rPr>
        <w:b/>
        <w:sz w:val="20"/>
        <w:szCs w:val="20"/>
      </w:rPr>
    </w:pPr>
    <w:r>
      <w:rPr>
        <w:b/>
        <w:sz w:val="20"/>
        <w:szCs w:val="20"/>
      </w:rPr>
      <w:t>ΑΔΙΑΒΑΘΜΗΤΟ - ΚΑΝΟΝΙΚΟ</w:t>
    </w:r>
  </w:p>
  <w:p w:rsidR="006160C1" w:rsidRPr="00914D01" w:rsidRDefault="006160C1"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C22765">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C22765">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0C1" w:rsidRDefault="006160C1" w:rsidP="0014093E">
      <w:r>
        <w:separator/>
      </w:r>
    </w:p>
  </w:footnote>
  <w:footnote w:type="continuationSeparator" w:id="1">
    <w:p w:rsidR="006160C1" w:rsidRDefault="006160C1"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73057"/>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2BD2"/>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5787"/>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0C1"/>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526"/>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57C3D"/>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1B1"/>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68"/>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3180"/>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2EBC"/>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4EF"/>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46A79"/>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83A"/>
    <w:rsid w:val="00AE4DF8"/>
    <w:rsid w:val="00AF1314"/>
    <w:rsid w:val="00AF2555"/>
    <w:rsid w:val="00AF258E"/>
    <w:rsid w:val="00AF2A95"/>
    <w:rsid w:val="00AF402E"/>
    <w:rsid w:val="00AF484D"/>
    <w:rsid w:val="00AF7354"/>
    <w:rsid w:val="00AF76C5"/>
    <w:rsid w:val="00B00049"/>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21B0"/>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F90"/>
    <w:rsid w:val="00B804CF"/>
    <w:rsid w:val="00B81CA0"/>
    <w:rsid w:val="00B82C97"/>
    <w:rsid w:val="00B84A9A"/>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033B"/>
    <w:rsid w:val="00BD19BC"/>
    <w:rsid w:val="00BD58E5"/>
    <w:rsid w:val="00BD64E7"/>
    <w:rsid w:val="00BD69F4"/>
    <w:rsid w:val="00BD6B46"/>
    <w:rsid w:val="00BD748E"/>
    <w:rsid w:val="00BE0D29"/>
    <w:rsid w:val="00BE0DA3"/>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2765"/>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7BFD"/>
    <w:rsid w:val="00DA02A2"/>
    <w:rsid w:val="00DA16F4"/>
    <w:rsid w:val="00DA3074"/>
    <w:rsid w:val="00DA531F"/>
    <w:rsid w:val="00DA55FB"/>
    <w:rsid w:val="00DA5F5E"/>
    <w:rsid w:val="00DA7009"/>
    <w:rsid w:val="00DA7B7A"/>
    <w:rsid w:val="00DB110E"/>
    <w:rsid w:val="00DB211F"/>
    <w:rsid w:val="00DB23A0"/>
    <w:rsid w:val="00DB23FA"/>
    <w:rsid w:val="00DB399D"/>
    <w:rsid w:val="00DB4984"/>
    <w:rsid w:val="00DB739D"/>
    <w:rsid w:val="00DC131C"/>
    <w:rsid w:val="00DC1F6E"/>
    <w:rsid w:val="00DC2BE1"/>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6C6"/>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335"/>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0F15"/>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A79C5"/>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E75E0"/>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F5472-8594-4826-947A-89E4A1A8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2868</Characters>
  <Application>Microsoft Office Word</Application>
  <DocSecurity>0</DocSecurity>
  <Lines>23</Lines>
  <Paragraphs>6</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2021-07-08T09:08:00Z</cp:lastPrinted>
  <dcterms:created xsi:type="dcterms:W3CDTF">2021-07-08T09:06:00Z</dcterms:created>
  <dcterms:modified xsi:type="dcterms:W3CDTF">2021-07-08T09:12:00Z</dcterms:modified>
</cp:coreProperties>
</file>