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ΓΡΑΦΕΙΟ ΟΕΥ ΣΤΗΝ ΒΟΣΝΙΑ-ΕΡΖΕΓΟΒΙΝΗ.</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center"/>
        <w:rPr>
          <w:rFonts w:ascii="Arial" w:hAnsi="Arial" w:cs="Arial" w:eastAsia="Arial"/>
          <w:b/>
          <w:color w:val="auto"/>
          <w:spacing w:val="0"/>
          <w:position w:val="0"/>
          <w:sz w:val="24"/>
          <w:u w:val="single"/>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ΔΕΛΤΙΟ ΟΙΚΟΝΟΜΙΚΗΣ ΠΛΗΡΟΦΟΡΗΣΗΣ ΜΑΙΟΥ 2021.</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center"/>
        <w:rPr>
          <w:rFonts w:ascii="Arial" w:hAnsi="Arial" w:cs="Arial" w:eastAsia="Arial"/>
          <w:b/>
          <w:color w:val="auto"/>
          <w:spacing w:val="0"/>
          <w:position w:val="0"/>
          <w:sz w:val="24"/>
          <w:u w:val="single"/>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ΕΞΕΛΙΞΗ ΕΞΩΤΕΡΙΚΟΥ ΕΜΠΟΡΙΟΥ.</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συνολικές εξαγωγές τον Απρίλιο του 2021 ήταν κατά 60% υψηλότερες σε σχέση με τον Απρίλιο 2020 και για το πρώτο τετράμηνο του 2021 ανήλθαν σε 4,18 δισεκατομμύρια BAM, ήτοι περίπου 2,14 δις ευρώ, κατά 25,7% υψηλότερες από αυτές το 2020. Οι εξαγωγές προς την ΕΕ κατά την ίδια περίοδο ανήλθαν σε 3,41 δισεκατομμύρια ΒΑΜ, ήτοι περίπου 1,74 δις ευρώ, κατά 27,3% υψηλότερες από το πρώτο τετράμηνο του 2020.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εξαγωγές στην ΕΕ αντιπροσώπευαν το 74,3% των συνολικών εξαγωγών της Β-Ε κατά τη διάρκεια αυτής της περιόδου. Οι χώρες CEFTA είναι ο δεύτερος μεγαλύτερος προορισμός εξαγωγών της Β-Ε και κατά τη διάρκεια των πρώτων τεσσάρων μηνών του 2021 οι εξαγωγές πρός CEFTA αυξήθηκαν κατά 25,7% και ανήλθαν σε 622 εκατομμύρια BAM, ήτοι περίπου 319 εκατ. ευρώ και αντιπροσώπευαν το 15,8% των συνολικών εξαγωγών.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συνολικές εισαγωγές της Β-Ε τον Απρίλιο του 2021 ήταν κατά 50% υψηλότερες σε σχέση με τον Απρίλιο του 2020, καθιστώντας τις συνολικές εισαγωγές τεσσάρων μηνών το 2021 κατά 12,5% υψηλότερες από την ίδια περίοδο του 2020, στο επίπεδο των 6,1 δισεκατομμυρίων BAM, ήτοι περίπου 3,13 εκατ. ευρώ. Οι περισσότερες εισαγωγές της Β-Ε προήλθαν από την ΕΕ </w:t>
      </w:r>
      <w:r>
        <w:rPr>
          <w:rFonts w:ascii="Arial" w:hAnsi="Arial" w:cs="Arial" w:eastAsia="Arial"/>
          <w:color w:val="auto"/>
          <w:spacing w:val="0"/>
          <w:position w:val="0"/>
          <w:sz w:val="24"/>
          <w:shd w:fill="auto" w:val="clear"/>
        </w:rPr>
        <w:t xml:space="preserve">– 3,7 </w:t>
      </w:r>
      <w:r>
        <w:rPr>
          <w:rFonts w:ascii="Arial" w:hAnsi="Arial" w:cs="Arial" w:eastAsia="Arial"/>
          <w:color w:val="auto"/>
          <w:spacing w:val="0"/>
          <w:position w:val="0"/>
          <w:sz w:val="24"/>
          <w:shd w:fill="auto" w:val="clear"/>
        </w:rPr>
        <w:t xml:space="preserve">δισεκατομμύρια BAM, ήτοι περίπου 1,9 δις ευρώ, ή σχεδόν το 61% του συνόλου.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εισαγωγές από την ΕΕ κατά το πρώτο τετράμηνο του 2021 ήταν κατά 12,9% υψηλότερες από</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την ίδια περίοδο του 2020. Οι χώρες της CEFTA αντιπροσωπεύουν επίσης σημαντικό μερίδιο των εισαγωγών της Β-Ε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το 12,5% του συνόλου κατά τη διάρκεια των πρώτων τεσσάρων μηνών του 2021. Συνολικά, το 68,5% των εισαγωγών της Β-Ε για τέσσερις μήνες καλύφθηκε από την αξία των εξαγωγών της, καταγράφοντας αύξηση 7,25 ποσοστιαίων μονάδων, σε σύγκριση με την ίδια περίοδο του 2020.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ΕΞΕΛΙΞΗ ΔΙΜΕΡΟΥΣ ΕΜΠΟΡΙΟΥ ΜΕ ΤΟ ΜΑΥΡΟΒΟΥΝΙΟ.</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 εμπόριο μεταξύ Βοσνίας-Ερζεγοβίνης (Β-Ε) και Μαυροβουνίου αυξήθηκε τα τελευταία πέντε χρόνια, αλλά μειώθηκε σημαντικά πέρυσι λόγω της πανδημίας COVID-19.</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εξαγωγές της Β-Ε στο Μαυροβούνιο, σύμφωνα με τα στοιχεία του Επιμελητηρίου Εξωτερικού Εμπορίου της Β-Ε, από την αξία των 273,1 εκατομμυρίων BAM, ήτοι περίπου 140 εκατ. ευρώ το 2016 αυξήθηκαν σε 448,6 εκατομμύρια BAM, ήτοι περίπου 230 εκατ. ευρώ το 2019.</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Πέρυσι, υπό τις συνθήκες της πανδημίας, οι εξαγωγές της Β-Ε στο Μαυροβούνιο σημείωσαν μείωση στα 325,5 εκατομμύρια BAM, ήτοι περίπου 166,9 εκατ. ευρώ, αλλά φέτος υπάρχει ανάκαμψη.</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Τους πρώτους τέσσερις μήνες του τρέχοντος έτους, οι εξαγωγές της Β-Ε στο Μαυροβούνιο ανήλθαν σε 142,3 εκατομμύρια BAM, ήτοι περίπου 72,9 εκατ. ευρώ και οι εισαγωγές σε 24 εκατομμύρια BAM, ήτοι περίπου 12,3 εκατ. ευρώ.</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Μεταξύ των προϊόντων που εξάγονται στο Μαυροβούνιο είναι τα ορυκτά καύσιμα και τα ορυκτέλαια, ο σίδηρος και ο χάλυβας, καθώς και το γάλα, τα γαλακτοκομικά και συναφή προϊόντα. Τα πιο σημαντικά εισαγόμενα προϊόντα από το Μαυροβούνιο είναι τα προϊόντα ξύλου και ο ξυλάνθρακας, τα οχήματα (εκτός σιδηροδρομικών ή σιδηροδρομικών τραμ), μεταλλεύματα, ορυκτά καύσιμα κ.λπ.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ΕΞΕΛΙΞΗ ΒΙΟΜΗΧΑΝΙΚΗΣ ΠΑΡΑΓΩΓΗΣ.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συνολική βιομηχανική παραγωγή τον Απρίλιο ήταν 25,5% υψηλότερη από τον Απρίλιο του 2020, καθιστώντας έτσι τον μέσο όρο τεσσάρων μηνών 11,4% υψηλότερο, σε σχέση με την ίδια περίοδο του 2020. Η μεταποίηση, που αντιπροσωπεύει σχεδόν το 70% της συνολικής βιομηχανικής παραγωγής αυξήθηκε κατά ένα τρίτο, σε ετήσια βάση, τον Απρίλιο, με αποτέλεσμα την ετήσια αύξηση κατά 13,7% κατά το πρώτο τετράμηνο του 2021.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ανάπτυξη της μεταποίησης οφείλεται στην ισχυρή ανάκαμψη της βιομηχανίας επίπλων, η οποία αυξήθηκε κατά σχεδόν 140% σε σύγκριση με τον Απρίλιο του 2020, όταν οι περισσότεροι παραγωγοί αντιμετώπισαν, τόσο πλήρες lockdown όσο και απότομη πτώση της διεθνούς ζήτησης.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Τον Απρίλιο ανέκαμψαν και άλλοι κλάδοι προσανατολισμένοι στις εξαγωγές, όπως η επεξεργασία ξύλου, η βιομηχανία μετάλλων, χημικών και κλωστοϋφαντουργικών προϊόντων. Η παραγωγή οπτάνθρακα, εξευγενισμένου πετρελαίου, καουτσούκ και πλαστικών αυξήθηκαν κατά περίπου 40%, σε σχέση με τον ίδιο μήνα του 2020. Η παραγωγή ενέργειας, που αντιπροσωπεύει περίπου το 20% της συνολικής βιομηχανικής παραγωγής αυξήθηκε κατά περίπου 25% τον Απρίλιο του 2021.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ισχυρή ανάκαμψη τον Απρίλιο αντισταθμίστηκε, εν μέρει, από τη μείωση της παραγωγής ορυχείων και λατομείων που συρρικνώθηκε περίπου 15%, ανεβάζοντας τη συνολική παραγωγή για τους πρώτους τέσσερις μήνες του έτους σε περίπου 90% από εκείνη που καταγράφηκε κατά το πρώτο τετράμηνο του 2020.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πιο έντονη αύξηση της παραγωγής παρατηρείται στην περίπτωση των διαρκών καταναλωτικών αγαθών (ετήσια αύξηση 133% τον Απρίλιο), ακολουθούμενη από τη μεταποίηση κεφαλαιουχικών αγαθών (σχεδόν 90% αύξηση τον Απρίλιο). Η παραγωγή καταναλωτικών, μη διαρκών, ενδιάμεσων αγαθών και ενέργειας αυξήθηκε μεταξύ 10 και 20%.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ΕΞΕΛΙΞΗ ΜΙΣΘΩΝ.</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Τον Μάρτιο του 2021, το μέσο μηνιαίο καθαρό εισόδημα, ανά άτομο σε απασχόληση σε νομικά πρόσωπα στη Βοσνία-Ερζεγοβίνη, ανήλθε σε 989 BAM, ήτοι περίπου 507 ευρώ, καταγράφοντας ονομαστική αύξηση 0,2% σε σύγκριση με τον Δεκέμβριο του 2020.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Σε σύγκριση με τον Μάρτιο του 2020, τα μέσα μηνιαία αποπληρωμένα καθαρά εισοδήματα για τον Μάρτιο του 2021 ήταν ονομαστικά κατά 4,1% υψηλότερα, σύμφωνα με στοιχεία της Στατιστικής Υπηρεσίας της BIH.</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Για το πρώτο τρίμηνο του 2021, ο μέσος όρος των μηνιαίων καταβληθέντων καθαρών αποδοχών, ανά άτομο σε απασχόληση σε νομικά πρόσωπα στη Β-Ε, ανήλθε σε 973 BAM, ήτοι περίπου 499 ευρώ και το τέταρτο τρίμηνο του 2020 ανήλθε σε 972 BAM, καταγράφοντας ονομαστική αύξηση σε ποσοστό 0,2%για πρώτο τρίμηνο του 2021, σε σύγκριση με το τέταρτο τρίμηνο του 2020.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κάλυψη του καταναλωτικού καλαθιού των συνδικάτων, για τους εργαζόμενους με με μέσο μισθό είναι 51,57%. Το καλάθι καταναλωτών αποτελείται από τις ακόλουθες κατηγορίες: τρόφιμα 44,5%, στέγαση και κοινοτικές υπηρεσίες 16,7%, υγιεινή και συντήρηση υγείας 9,4%, εκπαίδευση και πολιτισμός 5,9%, ρούχα και υποδήματα 10,7%, μεταφορές 7,4% και οικιακές υπηρεσίες 5,2%.</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ΕΞΕΛΙΞΗ ΙΔΙΩΤΙΚΟΥ ΔΑΝΕΙΣΜΟΥ.</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Κεντρική Τράπεζα της Βοσνίας-Ερζεγοβίνης (CBBH) διενήργησε έρευνα, σχετικά με την πιστωτική δραστηριότητα των τραπεζών, σκοπός της οποίας είναι να αποκτήσει εικόνα σχετικά με τις τάσεις των προτύπων και των όρων δανεισμού των εμπορικών τραπεζών και να επανεξετάσει την προσφορά και τη ζήτηση δανείων στην οικονομία της χώρας.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Τα αποτελέσματα για το τρίτο και τέταρτο τρίμηνο του 2020 έχουν δημοσιευτεί και δείχνουν ότι, από την πλευρά της προσφοράς, οι όροι δανεισμού έχουν γίνει πιο αυστηροί, ενώ ταυτόχρονα, καταγράφηκε μειωμένη ζήτηση δανείων τόσο σε εταιρείες όσο και σε νοικοκυριά.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κύριοι παράγοντες που επηρεάζουν τη σύσφιξη των πιστωτικών όρων σχετίζονται με την αντίληψη του κινδύνου, η οποία είναι συνέπεια των επιδεινούμενων οικονομικών συνθηκών που σχετίζονται με την ύφεση.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ζήτηση για δάνεια από εταιρείες έχει διαφορετικές τάσεις και το τέταρτο τρίμηνο του 2020 σημειώθηκε ελαφρά αύξηση της ζήτησης βραχυπρόθεσμων δανείων, ενώ η ζήτηση για μακροπρόθεσμα δάνεια μειώθηκε.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Στον τομέα των νοικοκυριών, για δύο συνεχόμενα τρίμηνα, υπήρξε μείωση της ζήτησης τόσο για καταναλωτικά όσο και για στεγαστικά δάνεια. Οι εκφρασμένες προσδοκίες όσον αφορά την προσφορά δείχνουν ότι οι πιστωτικοί όροι δεν αναμένεται να μεταβληθούν σύντομα και, όσον αφορά τη ζήτηση, αναμένεται ελαφρά αύξηση της ζήτησης για στεγαστικά δάνεια και βραχυπρόθεσμα εταιρικά δάνεια. Αυτή η εξέλιξη στην αγορά αναμένεται λόγω των οικονομικών συνεπειών της πανδημίας που προκαλείται από τον ιό COVID-19, και παρόμοιες τάσεις παρατηρούνται σε άλλες οικονομίες.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Ευρωπαϊκή Κεντρική Τράπεζα (ΕΚΤ), μέσω των συμπερασμάτων του Οικονομικού Διαλόγου μεταξύ της Ευρωπαϊκής Ένωσης και των Δυτικών Βαλκανίων, πρότεινε τη σημασία της εισαγωγής αυτού του αναλυτικού μέσου.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έρευνα ευθυγραμμίζεται σημαντικά μεθοδολογικά με μια παρόμοια έρευνα που πραγματοποιήθηκε για τη ζώνη του ευρώ. Κατά την εφαρμογή αυτής της ιδέας, χορηγήθηκε σημαντική τεχνική βοήθεια από την Εθνική Τράπεζα της Αυστρίας, μέσω του έργου IPA για την ενίσχυση της ικανότητας των κεντρικών τραπεζών των Δυτικών Βαλκανίων, επιτυγχάνοντας έτσι τη σταδιακή εναρμόνιση με τις αρχές του Ευρωπαϊκού Συστήματος Κεντρικών Τραπεζών.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ΕΞΕΛΙΞΗ ΚΑΤΑΣΚΕΥΑΣΤΙΚΟΥ ΤΟΜΕΑ.</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μέση τιμή των νέων κατοικιών που πωλήθηκαν το πρώτο τρίμηνο του 2021 είναι 1.801 BAM, ανά μ2, ήτοι περίπου 923 ευρώ. Σε σύγκριση με τη μέση τιμή των νέων κατοικιών που πωλήθηκαν το 2020, καταγράφηκε αύξηση κατά 8,0% και σε σύγκριση με το πρώτο τρίμηνο του 2020 κατά 10,5%, σύμφωνα με την Στατιστική Υπηρεσία της Β-Ε.</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 αριθμός των νέων κατοικιών που πωλήθηκαν το πρώτο τρίμηνο του 2021 μειώθηκε κατά 2,2% σε σύγκριση με το πρώτο τρίμηνο του 2020. Σε σύγκριση με τον μέσο όρο των νέων κατοικιών που πωλήθηκαν το 2020 μειώθηκε κατά 21,1%.</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ωφέλιμη επιφάνεια των νέων κατοικιών που πωλήθηκαν το πρώτο τρίμηνο του 2021 σε σύγκριση με το πρώτο τρίμηνο του 2020, μειώθηκε κατά 4,0% και σε σύγκριση με τη μέση επιφάνεια των νέων κατοικιών που πωλήθηκαν το 2020 αυξήθηκε κατά 21,0%.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αξία των νέων παραγγελιών το πρώτο τρίμηνο του 2021 αυξήθηκε κατά 6,1% σε σύγκριση με την ίδια περίοδο του προηγούμενου έτους.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αξία των κατασκευαστικών έργων που πραγματοποιήθηκαν το πρώτο τρίμηνο του 2021 αυξήθηκε κατά 3,3% σε σύγκριση με το ίδιο τρίμηνο του 2020.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Από τη συνολική αξία των κατασκευαστικών έργων που πραγματοποιήθηκαν το πρώτο τρίμηνο του 2021, το 30,8% των έργων σχετίζεται με τα κτίρια και το 69,2% για έργα πολιτικού μηχανικού.</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 αριθμός των οικοδομικών αδειών που εκδόθηκαν το πρώτο τρίμηνο του 2021, σε σύγκριση με τον μέσο αριθμό οικοδομικών αδειών που εκδόθηκαν το 2020, μειώθηκε κατά 37,8% και σε σύγκριση με το πρώτο τρίμηνο του 2020, μειώθηκε κατά 28,1%.</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 αριθμός κατοικιών που σχεδιάστηκαν για κατασκευή το πρώτο τρίμηνο του 2021, σε σύγκριση με τον αριθμό κατοικιών που σχεδιάστηκαν για κατασκευή το 2020, μειώθηκε κατά 72,5% και σε σύγκριση με το πρώτο τρίμηνο του 2020, μειώθηκε κατά 42,3%.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ΚΙΝΔΥΝΟΣ ΤΟΠΟΘΕΤΗΣΗΣ ΤΗΣ Β-Ε ΣΤΗΝ "ΜΑΥΡΗ ΛΙΣΤΑ" ΓΙΑ ΞΕΠΛΥΜΑ ΧΡΗΜΑΤΟΣ.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Ένωση Τραπεζών Βοσνίας-Ερζεγοβίνης προειδοποίησε τα αρμόδια επίπεδα διακυβέρνησης καθώς και το κοινό για τον κίνδυνο επανατοποθέτησης της Βοσνίας-Ερζεγοβίνης στις λεγόμενες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μαύρες λίστες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της Ευρωπαϊκής Ένωσης και της FATF, λόγω της καθυστέρησης στην έγκριση του νόμου για την πρόληψη της νομιμοποίησης εσόδων από παράνομες δραστηριότητες και της χρηματοδότησης της τρομοκρατίας.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Είναι απαραίτητο ο νέος νόμος για την πρόληψη της νομιμοποίησης εσόδων από παράνομες δραστηριότητες και της χρηματοδότησης τρομοκρατικών δραστηριοτήτων να εναρμονιστεί με τα διεθνή πρότυπα για αυτόν τον τομέα, δηλαδή να καλύψει το τμήμα της ψηφιοποίησης. Η ύπαρξη κατάλληλων και διεθνώς αποδεκτών προτύπων για την πρόληψη της νομιμοποίησης εσόδων από παράνομες δραστηριότητες και της χρηματοδότησης της τρομοκρατίας αποτελεί διεθνή υποχρέωση της Βοσνίας-Ερζεγοβίνης ", ανέφερε σε δήλωση ο Σύνδεσμος Τραπεζών της Β-Ε.</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Υπενθυμίζεται ότι, η Βοσνία και Ερζεγοβίνη βρισκόταν ήδη στις λεγόμενες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μαύρες λίστες</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επειδή καθυστέρησε η έγκριση των κανονισμών και χρειάστηκαν πολλά χρόνια για να διαγραφεί από αυτούς τους καταλόγους.</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ενδεχόμενη αποτυχία έγκρισης του νέου νόμου μπορεί να προκαλέσει και πάλι οικονομικές και άλλες συνέπειες για τους πολίτες και την επιχειρηματική κοινότητα, καθώς και για τη Βοσνία-Ερζεγοβίνη, όπως αναφέρεται στην ανακοίνωση του Συνδέσμου Τραπεζών της Β-Ε.</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ΑΠΑΓΟΡΕΥΣΗ ΚΑΠΝΙΣΜΑΤΟΣ ΣΕ ΕΣΩΤΕΡΙΚΟΥΣ ΧΩΡΟΥΣ.</w:t>
      </w:r>
      <w:r>
        <w:rPr>
          <w:rFonts w:ascii="Arial" w:hAnsi="Arial" w:cs="Arial" w:eastAsia="Arial"/>
          <w:color w:val="auto"/>
          <w:spacing w:val="0"/>
          <w:position w:val="0"/>
          <w:sz w:val="24"/>
          <w:shd w:fill="auto" w:val="clear"/>
        </w:rPr>
        <w:t xml:space="preserv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Βουλή των Αντιπροσώπων του Κοινοβουλίου της Ομοσπονδίας Βοσνίας-Ερζεγοβίνης (FBiH) ψήφισε χθες νόμο που απαγορεύει το κάπνισμα σε όλους τους κλειστούς δημόσιους χώρους, στις δημόσιες συγκοινωνίες, αλλά και σε ιδιωτικά αυτοκίνητα με παιδιά.</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Μετά τη συζήτηση, οι βουλευτές ψήφισαν την πρόταση της κυβέρνησης για το νέο νόμο, ο οποίος ρυθμίζει τη χρήση καπνού σε δημόσιους χώρους. Το σχέδιο νόμου πηγαίνει τώρα στη Βουλή των Λαών του Κοινοβουλίου FBiH, όπου χρειάζεται αρκετή υποστήριξη για να υπερψηφιστεί.</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Πριν από τη συζήτηση, οι βουλευτές δήλωσαν χθες ότι ήρθε η ώρα για αυτήν την απόφαση να δούμε το φως της ημέρας και να προστατεύσουμε την υγεία των πολιτών μετά από 12 χρόνια υπογραφής με τον Παγκόσμιο Οργανισμό Υγείας (ΠΟΥ). Επισημάνθηκε επίσης ότι η απαγόρευση του καπνίσματος σε κλειστές δημόσιες εγκαταστάσεις θα αποτελέσει μεγάλο πλεονέκτημα στην πορεία της Β-Ε για ένταξη στην Ευρωπαϊκή Ένωση (ΕΕ).</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Το σχέδιο νόμου ορίζει ότι από την ημέρα έναρξης ισχύος του νόμου, όλοι θα έχουν 12 μήνες για να δημιουργήσουν προϋποθέσεις για την επιβολή του νόμου.</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Αυτό το νομοσχέδιο ισχύει για τον καπνό, τον καπνό και άλλα προϊόντα καπνίσματος (ναργιλέ, σωλήνες νερού), συμπεριλαμβανομένων των ηλεκτρονικών τσιγάρων, των προϊόντων καπνού χωρίς καπνό και των προϊόντων καπνίσματος από βότανα.</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Οι ιδιοκτήτες εγκαταστάσεων εστίασης (εστιατόρια, καφετέριες, κ.λπ.) θα είναι υποχρεωμένοι να εμφανίζουν την ένδειξη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απαγόρευση του καπνίσματος</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σε ορατά μέρη, και τα σταχτοδοχεία δεν πρέπει να εμφανίζονται. Ο ιδιοκτήτης της εγκατάστασης θα είναι υποχρεωμένος να προειδοποιεί, όσους δεν τηρούν αυτόν τον νόμο, να συμμορφωθούν ή να αποχωρήσουν. Διαφορετικά, ο ιδιοκτήτης της εγκατάστασης θα είναι υποχρεωμένος να καλέσει την αστυνομία.</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Black" w:hAnsi="Arial Black" w:cs="Arial Black" w:eastAsia="Arial Black"/>
          <w:b/>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